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503F8" w14:textId="77777777" w:rsidR="00F82B33" w:rsidRDefault="00A23846" w:rsidP="00A37C4C">
      <w:pPr>
        <w:spacing w:after="0"/>
        <w:rPr>
          <w:color w:val="00B0F0"/>
          <w:sz w:val="20"/>
          <w:szCs w:val="20"/>
        </w:rPr>
      </w:pPr>
      <w:r w:rsidRPr="00F51618">
        <w:rPr>
          <w:color w:val="ABABAB"/>
          <w:sz w:val="20"/>
          <w:szCs w:val="20"/>
        </w:rPr>
        <w:t>Version Number:</w:t>
      </w:r>
      <w:r w:rsidRPr="00F1052D">
        <w:rPr>
          <w:color w:val="00B0F0"/>
          <w:sz w:val="20"/>
          <w:szCs w:val="20"/>
        </w:rPr>
        <w:t xml:space="preserve"> </w:t>
      </w:r>
      <w:proofErr w:type="gramStart"/>
      <w:r w:rsidRPr="00F1052D">
        <w:rPr>
          <w:color w:val="00B0F0"/>
          <w:sz w:val="20"/>
          <w:szCs w:val="20"/>
        </w:rPr>
        <w:t>#.#</w:t>
      </w:r>
      <w:proofErr w:type="gramEnd"/>
    </w:p>
    <w:p w14:paraId="0FE96EFE" w14:textId="72C5A26C" w:rsidR="00A23846" w:rsidRPr="00F82B33" w:rsidRDefault="00A23846" w:rsidP="00A37C4C">
      <w:pPr>
        <w:spacing w:after="0"/>
        <w:rPr>
          <w:color w:val="00B0F0"/>
          <w:sz w:val="20"/>
          <w:szCs w:val="20"/>
        </w:rPr>
      </w:pPr>
      <w:r w:rsidRPr="00F51618">
        <w:rPr>
          <w:color w:val="ABABAB"/>
          <w:sz w:val="20"/>
          <w:szCs w:val="20"/>
        </w:rPr>
        <w:t>Date Approved:</w:t>
      </w:r>
      <w:r>
        <w:rPr>
          <w:color w:val="ABABAB"/>
          <w:sz w:val="20"/>
          <w:szCs w:val="20"/>
        </w:rPr>
        <w:t xml:space="preserve"> </w:t>
      </w:r>
      <w:r w:rsidRPr="00F1052D">
        <w:rPr>
          <w:color w:val="00B0F0"/>
          <w:sz w:val="20"/>
          <w:szCs w:val="20"/>
        </w:rPr>
        <w:t>#</w:t>
      </w:r>
      <w:proofErr w:type="gramStart"/>
      <w:r w:rsidRPr="00F1052D">
        <w:rPr>
          <w:color w:val="00B0F0"/>
          <w:sz w:val="20"/>
          <w:szCs w:val="20"/>
        </w:rPr>
        <w:t>#</w:t>
      </w:r>
      <w:r>
        <w:rPr>
          <w:color w:val="00B0F0"/>
          <w:sz w:val="20"/>
          <w:szCs w:val="20"/>
        </w:rPr>
        <w:t>.</w:t>
      </w:r>
      <w:r w:rsidRPr="00F1052D">
        <w:rPr>
          <w:color w:val="00B0F0"/>
          <w:sz w:val="20"/>
          <w:szCs w:val="20"/>
        </w:rPr>
        <w:t>#</w:t>
      </w:r>
      <w:proofErr w:type="gramEnd"/>
      <w:r w:rsidRPr="00F1052D">
        <w:rPr>
          <w:color w:val="00B0F0"/>
          <w:sz w:val="20"/>
          <w:szCs w:val="20"/>
        </w:rPr>
        <w:t>#</w:t>
      </w:r>
      <w:r>
        <w:rPr>
          <w:color w:val="00B0F0"/>
          <w:sz w:val="20"/>
          <w:szCs w:val="20"/>
        </w:rPr>
        <w:t>.</w:t>
      </w:r>
      <w:r w:rsidRPr="00F1052D">
        <w:rPr>
          <w:color w:val="00B0F0"/>
          <w:sz w:val="20"/>
          <w:szCs w:val="20"/>
        </w:rPr>
        <w:t>##</w:t>
      </w:r>
    </w:p>
    <w:p w14:paraId="6E33372A" w14:textId="610A8567" w:rsidR="00A23846" w:rsidRPr="008D7372" w:rsidRDefault="000D2A8B" w:rsidP="00281EEB">
      <w:pPr>
        <w:pStyle w:val="Heading1"/>
      </w:pPr>
      <w:bookmarkStart w:id="0" w:name="_Toc29819914"/>
      <w:r w:rsidRPr="008D7372">
        <w:t>Annual Leave Policy</w:t>
      </w:r>
      <w:bookmarkEnd w:id="0"/>
    </w:p>
    <w:p w14:paraId="2C084838" w14:textId="77777777" w:rsidR="00A23846" w:rsidRPr="0029401F" w:rsidRDefault="00A23846" w:rsidP="00A23846">
      <w:pPr>
        <w:spacing w:line="240" w:lineRule="auto"/>
        <w:jc w:val="both"/>
        <w:rPr>
          <w:b/>
          <w:bCs/>
          <w:u w:val="single"/>
        </w:rPr>
      </w:pPr>
      <w:r w:rsidRPr="0029401F">
        <w:rPr>
          <w:b/>
          <w:bCs/>
          <w:u w:val="single"/>
        </w:rPr>
        <w:t>Intent</w:t>
      </w:r>
    </w:p>
    <w:p w14:paraId="54C76369" w14:textId="4AFA5A84" w:rsidR="00A23846" w:rsidRDefault="00A23846" w:rsidP="00A23846">
      <w:pPr>
        <w:spacing w:line="240" w:lineRule="auto"/>
        <w:ind w:left="284"/>
        <w:jc w:val="both"/>
      </w:pPr>
      <w:r>
        <w:t xml:space="preserve">At </w:t>
      </w:r>
      <w:proofErr w:type="spellStart"/>
      <w:r w:rsidR="00E910AF" w:rsidRPr="00E910AF">
        <w:rPr>
          <w:color w:val="00B0F0"/>
        </w:rPr>
        <w:t>ABCCompany</w:t>
      </w:r>
      <w:proofErr w:type="spellEnd"/>
      <w:r>
        <w:t>, the intent of annual leave is to allow employees to balance work and family/life commitments.</w:t>
      </w:r>
    </w:p>
    <w:p w14:paraId="615C91CD" w14:textId="467A1467" w:rsidR="00A23846" w:rsidRPr="00A23846" w:rsidRDefault="00A23846" w:rsidP="00A23846">
      <w:pPr>
        <w:jc w:val="both"/>
        <w:rPr>
          <w:b/>
          <w:bCs/>
          <w:u w:val="single"/>
        </w:rPr>
      </w:pPr>
      <w:r w:rsidRPr="00A23846">
        <w:rPr>
          <w:b/>
          <w:bCs/>
          <w:u w:val="single"/>
        </w:rPr>
        <w:t>Entitlements</w:t>
      </w:r>
    </w:p>
    <w:p w14:paraId="3DD8378D" w14:textId="389C5B05" w:rsidR="00A23846" w:rsidRPr="00A23846" w:rsidRDefault="00A23846" w:rsidP="00A23846">
      <w:pPr>
        <w:ind w:firstLine="284"/>
        <w:jc w:val="both"/>
        <w:rPr>
          <w:b/>
          <w:bCs/>
          <w:i/>
          <w:iCs/>
        </w:rPr>
      </w:pPr>
      <w:r w:rsidRPr="00A23846">
        <w:rPr>
          <w:b/>
          <w:bCs/>
          <w:i/>
          <w:iCs/>
        </w:rPr>
        <w:t>Amount of Leave</w:t>
      </w:r>
    </w:p>
    <w:p w14:paraId="37F6AD48" w14:textId="3304B076" w:rsidR="00A23846" w:rsidRDefault="00A23846" w:rsidP="00A23846">
      <w:pPr>
        <w:ind w:left="284"/>
        <w:jc w:val="both"/>
      </w:pPr>
      <w:r>
        <w:t xml:space="preserve">All fulltime and part-time employees (excludes casual employees) are entitled to a minimum of 4 weeks’ annual leave per annum based on their ordinary hours of work (or the pro-rata equivalent for part-time employees).  </w:t>
      </w:r>
    </w:p>
    <w:p w14:paraId="14F7E49B" w14:textId="52AC31F0" w:rsidR="00A23846" w:rsidRDefault="00A23846" w:rsidP="00A23846">
      <w:pPr>
        <w:ind w:left="284"/>
        <w:jc w:val="both"/>
      </w:pPr>
      <w:r>
        <w:t>Casuals naturally need a break from work too.  The guidelines below in relation to Approval and Taking of Leave also applies to casual employees.  This is important so that we can approve and plan for your absence from work and ensure that your work roster reflects this in advance.</w:t>
      </w:r>
    </w:p>
    <w:p w14:paraId="0509D5DE" w14:textId="77777777" w:rsidR="00A23846" w:rsidRPr="00A23846" w:rsidRDefault="00A23846" w:rsidP="00A23846">
      <w:pPr>
        <w:ind w:firstLine="284"/>
        <w:jc w:val="both"/>
        <w:rPr>
          <w:b/>
          <w:bCs/>
          <w:i/>
          <w:iCs/>
        </w:rPr>
      </w:pPr>
      <w:r w:rsidRPr="00A23846">
        <w:rPr>
          <w:b/>
          <w:bCs/>
          <w:i/>
          <w:iCs/>
        </w:rPr>
        <w:t>Accrual of Annual Leave</w:t>
      </w:r>
    </w:p>
    <w:p w14:paraId="723CF363" w14:textId="73850F63" w:rsidR="00A23846" w:rsidRDefault="00A23846" w:rsidP="00A23846">
      <w:pPr>
        <w:ind w:left="284"/>
        <w:jc w:val="both"/>
      </w:pPr>
      <w:r>
        <w:t xml:space="preserve">The employee’s annual leave will be accrued and credited to their leave balance each pay period.  </w:t>
      </w:r>
    </w:p>
    <w:p w14:paraId="1044D9B1" w14:textId="1D44CD4F" w:rsidR="00A23846" w:rsidRDefault="00A23846" w:rsidP="00A23846">
      <w:pPr>
        <w:ind w:left="284"/>
        <w:jc w:val="both"/>
      </w:pPr>
      <w:r>
        <w:t xml:space="preserve">If employees are part-time the same calculation occurs pro-rata for the hours that are worked each pay period (up to a maximum of 38 hours per week).  </w:t>
      </w:r>
    </w:p>
    <w:p w14:paraId="4A606E45" w14:textId="59E0B9CD" w:rsidR="00A23846" w:rsidRDefault="00A23846" w:rsidP="00A23846">
      <w:pPr>
        <w:ind w:left="284"/>
        <w:jc w:val="both"/>
      </w:pPr>
      <w:r>
        <w:t>Any unused annual leave will roll over from year to year.</w:t>
      </w:r>
    </w:p>
    <w:p w14:paraId="0BD0CDA8" w14:textId="751FA3ED" w:rsidR="00A23846" w:rsidRDefault="00A23846" w:rsidP="00A23846">
      <w:pPr>
        <w:ind w:left="284"/>
        <w:jc w:val="both"/>
      </w:pPr>
      <w:r>
        <w:t xml:space="preserve">The employee will accrue annual leave </w:t>
      </w:r>
      <w:proofErr w:type="gramStart"/>
      <w:r>
        <w:t>during the course of</w:t>
      </w:r>
      <w:proofErr w:type="gramEnd"/>
      <w:r>
        <w:t xml:space="preserve"> employment (including periods of paid leave), except during periods of approved unpaid leave.</w:t>
      </w:r>
    </w:p>
    <w:p w14:paraId="646E5B4E" w14:textId="77777777" w:rsidR="00A23846" w:rsidRPr="00A23846" w:rsidRDefault="00A23846" w:rsidP="00A23846">
      <w:pPr>
        <w:ind w:firstLine="284"/>
        <w:jc w:val="both"/>
        <w:rPr>
          <w:b/>
          <w:bCs/>
          <w:i/>
          <w:iCs/>
        </w:rPr>
      </w:pPr>
      <w:r w:rsidRPr="00A23846">
        <w:rPr>
          <w:b/>
          <w:bCs/>
          <w:i/>
          <w:iCs/>
        </w:rPr>
        <w:t>Payment of Annual Leave</w:t>
      </w:r>
    </w:p>
    <w:p w14:paraId="5125BB52" w14:textId="72E92439" w:rsidR="00A23846" w:rsidRDefault="00A23846" w:rsidP="00A23846">
      <w:pPr>
        <w:ind w:left="284"/>
        <w:jc w:val="both"/>
      </w:pPr>
      <w:r>
        <w:t xml:space="preserve">Annual leave is paid at your ordinary current rate of pay at the time that the leave is taken (excluding overtime, bonuses, commissions etc).  Your Contract of Employment will stipulate this ordinary rate and </w:t>
      </w:r>
      <w:proofErr w:type="gramStart"/>
      <w:r>
        <w:t>whether or not</w:t>
      </w:r>
      <w:proofErr w:type="gramEnd"/>
      <w:r>
        <w:t xml:space="preserve"> you are entitled to leave loading.</w:t>
      </w:r>
    </w:p>
    <w:p w14:paraId="44C5C08F" w14:textId="3B196EC7" w:rsidR="00A23846" w:rsidRDefault="00A23846" w:rsidP="00A23846">
      <w:pPr>
        <w:ind w:left="284"/>
        <w:jc w:val="both"/>
      </w:pPr>
      <w:r>
        <w:t xml:space="preserve">When you go on annual leave, </w:t>
      </w:r>
      <w:proofErr w:type="spellStart"/>
      <w:r w:rsidR="00E910AF" w:rsidRPr="00E910AF">
        <w:rPr>
          <w:color w:val="00B0F0"/>
        </w:rPr>
        <w:t>ABCCompany</w:t>
      </w:r>
      <w:proofErr w:type="spellEnd"/>
      <w:r>
        <w:t xml:space="preserve"> will normally continue to pay you in the normal pay days during your period of leave.</w:t>
      </w:r>
    </w:p>
    <w:p w14:paraId="59BBAD98" w14:textId="66B4EC6A" w:rsidR="000B3C79" w:rsidRPr="007B1745" w:rsidRDefault="00F7719E" w:rsidP="00A23846">
      <w:pPr>
        <w:ind w:left="284"/>
        <w:jc w:val="both"/>
        <w:rPr>
          <w:b/>
          <w:bCs/>
          <w:i/>
          <w:iCs/>
        </w:rPr>
      </w:pPr>
      <w:r>
        <w:rPr>
          <w:b/>
          <w:bCs/>
          <w:i/>
          <w:iCs/>
        </w:rPr>
        <w:t xml:space="preserve">Temporary </w:t>
      </w:r>
      <w:r w:rsidR="00DD0D02">
        <w:rPr>
          <w:b/>
          <w:bCs/>
          <w:i/>
          <w:iCs/>
        </w:rPr>
        <w:t xml:space="preserve">Half Pay </w:t>
      </w:r>
      <w:r w:rsidR="000B3C79" w:rsidRPr="007B1745">
        <w:rPr>
          <w:b/>
          <w:bCs/>
          <w:i/>
          <w:iCs/>
        </w:rPr>
        <w:t xml:space="preserve">Circumstances </w:t>
      </w:r>
    </w:p>
    <w:p w14:paraId="19556DEB" w14:textId="598DC87F" w:rsidR="00363C1B" w:rsidRPr="007B1745" w:rsidRDefault="00EF466D" w:rsidP="00A23846">
      <w:pPr>
        <w:ind w:left="284"/>
        <w:jc w:val="both"/>
      </w:pPr>
      <w:r w:rsidRPr="007B1745">
        <w:t xml:space="preserve">By agreement </w:t>
      </w:r>
      <w:r w:rsidR="00702B64" w:rsidRPr="007B1745">
        <w:t xml:space="preserve">with </w:t>
      </w:r>
      <w:proofErr w:type="spellStart"/>
      <w:r w:rsidR="00702B64" w:rsidRPr="007B1745">
        <w:rPr>
          <w:color w:val="00B0F0"/>
        </w:rPr>
        <w:t>ABCCompany</w:t>
      </w:r>
      <w:proofErr w:type="spellEnd"/>
      <w:r w:rsidR="00702B64" w:rsidRPr="007B1745">
        <w:t xml:space="preserve"> </w:t>
      </w:r>
      <w:r w:rsidR="006835B8" w:rsidRPr="007B1745">
        <w:t>you</w:t>
      </w:r>
      <w:r w:rsidRPr="007B1745">
        <w:t xml:space="preserve"> may take </w:t>
      </w:r>
      <w:r w:rsidR="006835B8" w:rsidRPr="007B1745">
        <w:t>your</w:t>
      </w:r>
      <w:r w:rsidRPr="007B1745">
        <w:t xml:space="preserve"> annual leave at half pay and </w:t>
      </w:r>
      <w:r w:rsidR="006835B8" w:rsidRPr="007B1745">
        <w:t xml:space="preserve">double </w:t>
      </w:r>
      <w:r w:rsidR="00021B9A" w:rsidRPr="007B1745">
        <w:t>your</w:t>
      </w:r>
      <w:r w:rsidR="006835B8" w:rsidRPr="007B1745">
        <w:t xml:space="preserve"> time off.  This </w:t>
      </w:r>
      <w:r w:rsidR="00021B9A" w:rsidRPr="007B1745">
        <w:t xml:space="preserve">means </w:t>
      </w:r>
      <w:r w:rsidR="001C390D" w:rsidRPr="007B1745">
        <w:t>you get</w:t>
      </w:r>
      <w:r w:rsidR="00021B9A" w:rsidRPr="007B1745">
        <w:t xml:space="preserve"> 1 </w:t>
      </w:r>
      <w:r w:rsidR="0063181E" w:rsidRPr="007B1745">
        <w:t>week’s</w:t>
      </w:r>
      <w:r w:rsidR="00021B9A" w:rsidRPr="007B1745">
        <w:t xml:space="preserve"> annual leave payment (including leave loading if applicable) </w:t>
      </w:r>
      <w:r w:rsidR="002162E2" w:rsidRPr="007B1745">
        <w:t>for every 2 weeks of annual leave you take.</w:t>
      </w:r>
    </w:p>
    <w:p w14:paraId="36F0B158" w14:textId="526373A7" w:rsidR="000144A0" w:rsidRPr="007B1745" w:rsidRDefault="00895723" w:rsidP="000144A0">
      <w:pPr>
        <w:spacing w:line="240" w:lineRule="auto"/>
        <w:ind w:left="284"/>
        <w:jc w:val="both"/>
      </w:pPr>
      <w:r w:rsidRPr="007B1745">
        <w:t xml:space="preserve">If you are wanting to access leave at half pay you need to request </w:t>
      </w:r>
      <w:r w:rsidR="00B72BED" w:rsidRPr="007B1745">
        <w:t xml:space="preserve">this </w:t>
      </w:r>
      <w:r w:rsidR="00DD0D02">
        <w:t>using the annual</w:t>
      </w:r>
      <w:r w:rsidR="00B72BED" w:rsidRPr="007B1745">
        <w:t xml:space="preserve"> </w:t>
      </w:r>
      <w:r w:rsidR="002162E2" w:rsidRPr="007B1745">
        <w:t xml:space="preserve">leave form </w:t>
      </w:r>
      <w:r w:rsidR="00544E18" w:rsidRPr="007B1745">
        <w:t xml:space="preserve">that is to be approved </w:t>
      </w:r>
      <w:r w:rsidR="00B72BED" w:rsidRPr="007B1745">
        <w:t>b</w:t>
      </w:r>
      <w:r w:rsidR="00544E18" w:rsidRPr="007B1745">
        <w:t>y managemen</w:t>
      </w:r>
      <w:r w:rsidR="000144A0" w:rsidRPr="007B1745">
        <w:t>t</w:t>
      </w:r>
      <w:proofErr w:type="gramStart"/>
      <w:r w:rsidR="000144A0" w:rsidRPr="007B1745">
        <w:t xml:space="preserve">.  </w:t>
      </w:r>
      <w:proofErr w:type="gramEnd"/>
      <w:r w:rsidR="000144A0" w:rsidRPr="007B1745">
        <w:t>Any half pay leave request</w:t>
      </w:r>
      <w:r w:rsidR="00B72BED" w:rsidRPr="007B1745">
        <w:t>ed</w:t>
      </w:r>
      <w:r w:rsidR="000144A0" w:rsidRPr="007B1745">
        <w:t xml:space="preserve"> </w:t>
      </w:r>
      <w:r w:rsidR="00726F74" w:rsidRPr="007B1745">
        <w:t>needs to start before the 30 June 2020 but can finish after this date</w:t>
      </w:r>
      <w:proofErr w:type="gramStart"/>
      <w:r w:rsidR="00726F74" w:rsidRPr="007B1745">
        <w:t xml:space="preserve">.  </w:t>
      </w:r>
      <w:proofErr w:type="gramEnd"/>
    </w:p>
    <w:p w14:paraId="72330697" w14:textId="05BB17EA" w:rsidR="00726F74" w:rsidRDefault="00726F74" w:rsidP="000144A0">
      <w:pPr>
        <w:spacing w:line="240" w:lineRule="auto"/>
        <w:ind w:left="284"/>
        <w:jc w:val="both"/>
      </w:pPr>
      <w:r w:rsidRPr="007B1745">
        <w:t>Access to leave at half pay is only temporary until the 30 June 2020, or any other time as directed by the government.</w:t>
      </w:r>
    </w:p>
    <w:p w14:paraId="034E6FDC" w14:textId="2A90BFB3" w:rsidR="002162E2" w:rsidRPr="00363C1B" w:rsidRDefault="002162E2" w:rsidP="00A23846">
      <w:pPr>
        <w:ind w:left="284"/>
        <w:jc w:val="both"/>
      </w:pPr>
    </w:p>
    <w:p w14:paraId="7178FA00" w14:textId="77777777" w:rsidR="00A23846" w:rsidRPr="00A23846" w:rsidRDefault="00A23846" w:rsidP="00A23846">
      <w:pPr>
        <w:jc w:val="both"/>
        <w:rPr>
          <w:b/>
          <w:bCs/>
          <w:u w:val="single"/>
        </w:rPr>
      </w:pPr>
      <w:r w:rsidRPr="00A23846">
        <w:rPr>
          <w:b/>
          <w:bCs/>
          <w:u w:val="single"/>
        </w:rPr>
        <w:t>Approval of and Taking Leave</w:t>
      </w:r>
    </w:p>
    <w:p w14:paraId="47B5B0BE" w14:textId="47906477" w:rsidR="00A23846" w:rsidRDefault="00A23846" w:rsidP="00A23846">
      <w:pPr>
        <w:ind w:left="284"/>
        <w:jc w:val="both"/>
      </w:pPr>
      <w:r>
        <w:t xml:space="preserve">All employees are required to request any leave at least 4 weeks before the commencement of that leave period.  This allows management to consider the request and where necessary, organise other staffing arrangements to cover the leave period.  </w:t>
      </w:r>
      <w:proofErr w:type="spellStart"/>
      <w:r w:rsidR="00E910AF" w:rsidRPr="00E910AF">
        <w:rPr>
          <w:color w:val="00B0F0"/>
        </w:rPr>
        <w:t>ABCCompany</w:t>
      </w:r>
      <w:proofErr w:type="spellEnd"/>
      <w:r>
        <w:t xml:space="preserve"> understand that a need may arise for annual leave within a shorter time frame and these requests will be considered; however, </w:t>
      </w:r>
      <w:proofErr w:type="spellStart"/>
      <w:r w:rsidR="00E910AF" w:rsidRPr="00E910AF">
        <w:rPr>
          <w:color w:val="00B0F0"/>
        </w:rPr>
        <w:t>ABCCompany</w:t>
      </w:r>
      <w:proofErr w:type="spellEnd"/>
      <w:r>
        <w:t xml:space="preserve"> ask that employees provide as much time as possible for Management to consider and make necessary arrangements.</w:t>
      </w:r>
    </w:p>
    <w:p w14:paraId="5D77F87F" w14:textId="0CA9C602" w:rsidR="00A23846" w:rsidRDefault="00A23846" w:rsidP="00A23846">
      <w:pPr>
        <w:ind w:left="284"/>
        <w:jc w:val="both"/>
      </w:pPr>
      <w:r>
        <w:t xml:space="preserve">Annual leave can be taken at any time agreed between </w:t>
      </w:r>
      <w:proofErr w:type="spellStart"/>
      <w:r w:rsidR="00E910AF" w:rsidRPr="00E910AF">
        <w:rPr>
          <w:color w:val="00B0F0"/>
        </w:rPr>
        <w:t>ABCCompany</w:t>
      </w:r>
      <w:proofErr w:type="spellEnd"/>
      <w:r>
        <w:t xml:space="preserve"> and the employee.  </w:t>
      </w:r>
      <w:proofErr w:type="spellStart"/>
      <w:r w:rsidR="00E910AF" w:rsidRPr="00E910AF">
        <w:rPr>
          <w:color w:val="00B0F0"/>
        </w:rPr>
        <w:t>ABCCompany</w:t>
      </w:r>
      <w:proofErr w:type="spellEnd"/>
      <w:r>
        <w:t xml:space="preserve"> is entitled to refuse a request for annual leave if it does not suit the operational needs of the business, however the commitment to you is that </w:t>
      </w:r>
      <w:proofErr w:type="spellStart"/>
      <w:r w:rsidR="00E910AF" w:rsidRPr="00E910AF">
        <w:rPr>
          <w:color w:val="00B0F0"/>
        </w:rPr>
        <w:t>ABCCompany</w:t>
      </w:r>
      <w:proofErr w:type="spellEnd"/>
      <w:r>
        <w:t xml:space="preserve"> will endeavour to facilitate any leave requests and will only refuse leave where necessary.  </w:t>
      </w:r>
    </w:p>
    <w:p w14:paraId="6A2974AD" w14:textId="77777777" w:rsidR="00A23846" w:rsidRPr="00A23846" w:rsidRDefault="00A23846" w:rsidP="00A23846">
      <w:pPr>
        <w:ind w:firstLine="284"/>
        <w:jc w:val="both"/>
        <w:rPr>
          <w:b/>
          <w:bCs/>
          <w:i/>
          <w:iCs/>
        </w:rPr>
      </w:pPr>
      <w:r w:rsidRPr="00A23846">
        <w:rPr>
          <w:b/>
          <w:bCs/>
          <w:i/>
          <w:iCs/>
        </w:rPr>
        <w:t>Excessive Leave</w:t>
      </w:r>
    </w:p>
    <w:p w14:paraId="72DC6E4F" w14:textId="4D85D999" w:rsidR="00A23846" w:rsidRDefault="00451864" w:rsidP="00A23846">
      <w:pPr>
        <w:ind w:left="284"/>
        <w:jc w:val="both"/>
      </w:pPr>
      <w:r>
        <w:t xml:space="preserve">Employees </w:t>
      </w:r>
      <w:r w:rsidR="00A23846">
        <w:t>cannot accrue more than 8 weeks’ annual leave at any one time unless prior agreement is given by management</w:t>
      </w:r>
      <w:proofErr w:type="gramStart"/>
      <w:r w:rsidR="00A23846">
        <w:t xml:space="preserve">.  </w:t>
      </w:r>
      <w:proofErr w:type="gramEnd"/>
      <w:r w:rsidR="00A23846">
        <w:t xml:space="preserve">If you are close to accruing 8 weeks, an appropriate leave period will be discussed and if necessary, </w:t>
      </w:r>
      <w:proofErr w:type="spellStart"/>
      <w:r w:rsidR="00E910AF" w:rsidRPr="00E910AF">
        <w:rPr>
          <w:color w:val="00B0F0"/>
        </w:rPr>
        <w:t>ABCCompany</w:t>
      </w:r>
      <w:proofErr w:type="spellEnd"/>
      <w:r w:rsidR="00A23846">
        <w:t xml:space="preserve"> will advise you of the need to take leave, for a minimum of 1 week (up to 25% of the amount of leave accrued) with 8 weeks’ notice before your leave period is to commence.  Any such instruction cannot reduce your annual leave balance below 6 weeks unless mutually agreed.</w:t>
      </w:r>
    </w:p>
    <w:p w14:paraId="0D80B620" w14:textId="77777777" w:rsidR="00A23846" w:rsidRPr="00A23846" w:rsidRDefault="00A23846" w:rsidP="00A23846">
      <w:pPr>
        <w:ind w:left="284"/>
        <w:jc w:val="both"/>
        <w:rPr>
          <w:b/>
          <w:bCs/>
          <w:i/>
          <w:iCs/>
        </w:rPr>
      </w:pPr>
      <w:r w:rsidRPr="00A23846">
        <w:rPr>
          <w:b/>
          <w:bCs/>
          <w:i/>
          <w:iCs/>
        </w:rPr>
        <w:t>Cashing Out Annual Leave</w:t>
      </w:r>
    </w:p>
    <w:p w14:paraId="76FA1A5A" w14:textId="22F98F50" w:rsidR="00A23846" w:rsidRDefault="00A23846" w:rsidP="00A23846">
      <w:pPr>
        <w:ind w:left="284"/>
        <w:jc w:val="both"/>
      </w:pPr>
      <w:r>
        <w:t xml:space="preserve">By written agreement between you and management, up to 2 weeks of annual leave can be cashed out in any 12-month period so long as your remaining annual leave accrued balance does not fall below 4 weeks. The cashing out of annual leave will be paid at your ordinary rate of pay at the time that the leave is cashed out (excluding overtime etc). </w:t>
      </w:r>
    </w:p>
    <w:p w14:paraId="73D1E05C" w14:textId="77777777" w:rsidR="00A23846" w:rsidRPr="00A23846" w:rsidRDefault="00A23846" w:rsidP="00A23846">
      <w:pPr>
        <w:ind w:left="284"/>
        <w:jc w:val="both"/>
        <w:rPr>
          <w:b/>
          <w:bCs/>
          <w:i/>
          <w:iCs/>
        </w:rPr>
      </w:pPr>
      <w:r w:rsidRPr="00A23846">
        <w:rPr>
          <w:b/>
          <w:bCs/>
          <w:i/>
          <w:iCs/>
        </w:rPr>
        <w:t>Pay Out of Annual Leave on Cessation of Employment</w:t>
      </w:r>
    </w:p>
    <w:p w14:paraId="6D498E9D" w14:textId="5A486CDA" w:rsidR="00A23846" w:rsidRDefault="00A23846" w:rsidP="00A23846">
      <w:pPr>
        <w:ind w:left="284"/>
        <w:jc w:val="both"/>
      </w:pPr>
      <w:r>
        <w:t xml:space="preserve">You are entitled to be paid for the balance of annual leave should employment cease at </w:t>
      </w:r>
      <w:proofErr w:type="spellStart"/>
      <w:r w:rsidR="00E910AF" w:rsidRPr="00E910AF">
        <w:rPr>
          <w:color w:val="00B0F0"/>
        </w:rPr>
        <w:t>ABCCompany</w:t>
      </w:r>
      <w:proofErr w:type="spellEnd"/>
      <w:r>
        <w:t xml:space="preserve"> and the balance will be paid out at your ordinary rate of pay at the time of leaving the company.</w:t>
      </w:r>
    </w:p>
    <w:p w14:paraId="714666FA" w14:textId="30255ABE" w:rsidR="00A23846" w:rsidRDefault="00A23846" w:rsidP="00A23846">
      <w:pPr>
        <w:ind w:left="284"/>
        <w:jc w:val="both"/>
      </w:pPr>
      <w:r>
        <w:t xml:space="preserve">Please note that this payment is subject to any other existing or future agreements </w:t>
      </w:r>
      <w:proofErr w:type="gramStart"/>
      <w:r>
        <w:t>entered into</w:t>
      </w:r>
      <w:proofErr w:type="gramEnd"/>
      <w:r>
        <w:t xml:space="preserve"> with </w:t>
      </w:r>
      <w:proofErr w:type="spellStart"/>
      <w:r w:rsidR="00E910AF" w:rsidRPr="00E910AF">
        <w:rPr>
          <w:color w:val="00B0F0"/>
        </w:rPr>
        <w:t>ABCCompany</w:t>
      </w:r>
      <w:proofErr w:type="spellEnd"/>
      <w:r>
        <w:t xml:space="preserve"> and policies existing or implemented in the future by </w:t>
      </w:r>
      <w:proofErr w:type="spellStart"/>
      <w:r w:rsidR="00E910AF" w:rsidRPr="00E910AF">
        <w:rPr>
          <w:color w:val="00B0F0"/>
        </w:rPr>
        <w:t>ABCCompany</w:t>
      </w:r>
      <w:proofErr w:type="spellEnd"/>
      <w:r>
        <w:t xml:space="preserve"> in relation to reimbursement of expenses paid by </w:t>
      </w:r>
      <w:proofErr w:type="spellStart"/>
      <w:r w:rsidR="00E910AF" w:rsidRPr="00E910AF">
        <w:rPr>
          <w:color w:val="00B0F0"/>
        </w:rPr>
        <w:t>ABCCompany</w:t>
      </w:r>
      <w:proofErr w:type="spellEnd"/>
      <w:r>
        <w:t xml:space="preserve"> in the course of your employment.</w:t>
      </w:r>
    </w:p>
    <w:p w14:paraId="34E97BA8" w14:textId="77777777" w:rsidR="00A23846" w:rsidRPr="00A23846" w:rsidRDefault="00A23846" w:rsidP="00A23846">
      <w:pPr>
        <w:ind w:firstLine="284"/>
        <w:jc w:val="both"/>
        <w:rPr>
          <w:b/>
          <w:bCs/>
          <w:i/>
          <w:iCs/>
        </w:rPr>
      </w:pPr>
      <w:r w:rsidRPr="00A23846">
        <w:rPr>
          <w:b/>
          <w:bCs/>
          <w:i/>
          <w:iCs/>
        </w:rPr>
        <w:t>Public Holidays during Periods of Annual Leave</w:t>
      </w:r>
    </w:p>
    <w:p w14:paraId="4D8177FE" w14:textId="57305AEC" w:rsidR="00A23846" w:rsidRDefault="00A23846" w:rsidP="00A23846">
      <w:pPr>
        <w:ind w:left="284"/>
        <w:jc w:val="both"/>
      </w:pPr>
      <w:r>
        <w:t>Should a public holiday fall within your period of annual leave and is on a day that would have been a normal working day for you, this day is not included in the period of annual leave deducted from your accrued balance.  For example, if you take 2 weeks annual leave and the Monday of the second week is a public holiday, only 9 days of annual leave will be deducted from your annual leave balance rather than 10.</w:t>
      </w:r>
    </w:p>
    <w:p w14:paraId="74F75FDB" w14:textId="77777777" w:rsidR="00A23846" w:rsidRPr="0029401F" w:rsidRDefault="00A23846" w:rsidP="00A23846">
      <w:pPr>
        <w:spacing w:line="240" w:lineRule="auto"/>
        <w:jc w:val="both"/>
        <w:rPr>
          <w:b/>
          <w:bCs/>
          <w:u w:val="single"/>
        </w:rPr>
      </w:pPr>
      <w:r w:rsidRPr="0029401F">
        <w:rPr>
          <w:b/>
          <w:bCs/>
          <w:u w:val="single"/>
        </w:rPr>
        <w:t>Summary</w:t>
      </w:r>
    </w:p>
    <w:p w14:paraId="67A0EC73" w14:textId="6AC5B908" w:rsidR="005A29D4" w:rsidRPr="00C3442C" w:rsidRDefault="00E910AF" w:rsidP="00466E12">
      <w:pPr>
        <w:spacing w:line="240" w:lineRule="auto"/>
        <w:ind w:left="284"/>
      </w:pPr>
      <w:proofErr w:type="spellStart"/>
      <w:r w:rsidRPr="00E910AF">
        <w:rPr>
          <w:color w:val="00B0F0"/>
        </w:rPr>
        <w:t>ABCCompany</w:t>
      </w:r>
      <w:r w:rsidR="00A23846" w:rsidRPr="00560AEA">
        <w:t>’s</w:t>
      </w:r>
      <w:proofErr w:type="spellEnd"/>
      <w:r w:rsidR="00A23846" w:rsidRPr="00560AEA">
        <w:t xml:space="preserve"> intent is to provide flexible and fair annual leave provisions to all employees</w:t>
      </w:r>
      <w:r w:rsidR="00466E12">
        <w:t>.</w:t>
      </w:r>
    </w:p>
    <w:sectPr w:rsidR="005A29D4" w:rsidRPr="00C3442C" w:rsidSect="00E1168D">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0F67" w14:textId="77777777" w:rsidR="0056341A" w:rsidRDefault="0056341A" w:rsidP="00C93F42">
      <w:pPr>
        <w:spacing w:after="0" w:line="240" w:lineRule="auto"/>
      </w:pPr>
      <w:r>
        <w:separator/>
      </w:r>
    </w:p>
  </w:endnote>
  <w:endnote w:type="continuationSeparator" w:id="0">
    <w:p w14:paraId="010B865D" w14:textId="77777777" w:rsidR="0056341A" w:rsidRDefault="0056341A" w:rsidP="00C9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A32F" w14:textId="77777777" w:rsidR="008D4478" w:rsidRPr="00046B4D" w:rsidRDefault="008D4478" w:rsidP="00E32C8F">
    <w:pPr>
      <w:pBdr>
        <w:top w:val="single" w:sz="4" w:space="1" w:color="000000" w:themeColor="text1"/>
      </w:pBdr>
      <w:spacing w:after="0" w:line="240" w:lineRule="auto"/>
      <w:rPr>
        <w:sz w:val="8"/>
        <w:szCs w:val="8"/>
      </w:rPr>
    </w:pPr>
  </w:p>
  <w:tbl>
    <w:tblPr>
      <w:tblStyle w:val="TableGrid"/>
      <w:tblpPr w:leftFromText="180" w:rightFromText="180" w:vertAnchor="text" w:tblpXSpec="center"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4537"/>
      <w:gridCol w:w="1675"/>
      <w:gridCol w:w="1675"/>
    </w:tblGrid>
    <w:tr w:rsidR="008D4478" w:rsidRPr="00EB6F79" w14:paraId="49E8FDC3" w14:textId="77777777" w:rsidTr="008D4478">
      <w:trPr>
        <w:trHeight w:val="227"/>
      </w:trPr>
      <w:tc>
        <w:tcPr>
          <w:tcW w:w="626" w:type="pct"/>
          <w:vAlign w:val="center"/>
        </w:tcPr>
        <w:p w14:paraId="56EE02BC" w14:textId="77777777" w:rsidR="008D4478" w:rsidRPr="00F51618" w:rsidRDefault="008D4478" w:rsidP="00E32C8F">
          <w:pPr>
            <w:pStyle w:val="Footer"/>
            <w:jc w:val="center"/>
            <w:rPr>
              <w:b/>
              <w:bCs/>
              <w:color w:val="ABABAB"/>
              <w:sz w:val="20"/>
              <w:szCs w:val="20"/>
            </w:rPr>
          </w:pPr>
          <w:r w:rsidRPr="00F51618">
            <w:rPr>
              <w:b/>
              <w:bCs/>
              <w:color w:val="ABABAB"/>
              <w:sz w:val="20"/>
              <w:szCs w:val="20"/>
            </w:rPr>
            <w:t>Version #</w:t>
          </w:r>
        </w:p>
      </w:tc>
      <w:tc>
        <w:tcPr>
          <w:tcW w:w="2516" w:type="pct"/>
          <w:vAlign w:val="center"/>
        </w:tcPr>
        <w:p w14:paraId="03EBDD23" w14:textId="77777777" w:rsidR="008D4478" w:rsidRPr="00F51618" w:rsidRDefault="008D4478" w:rsidP="00E32C8F">
          <w:pPr>
            <w:pStyle w:val="Footer"/>
            <w:jc w:val="center"/>
            <w:rPr>
              <w:b/>
              <w:bCs/>
              <w:color w:val="ABABAB"/>
              <w:sz w:val="20"/>
              <w:szCs w:val="20"/>
            </w:rPr>
          </w:pPr>
          <w:r w:rsidRPr="00F51618">
            <w:rPr>
              <w:b/>
              <w:bCs/>
              <w:color w:val="ABABAB"/>
              <w:sz w:val="20"/>
              <w:szCs w:val="20"/>
            </w:rPr>
            <w:t>Document Title</w:t>
          </w:r>
        </w:p>
      </w:tc>
      <w:tc>
        <w:tcPr>
          <w:tcW w:w="929" w:type="pct"/>
          <w:vAlign w:val="center"/>
        </w:tcPr>
        <w:p w14:paraId="0A8F4CBA" w14:textId="77777777" w:rsidR="008D4478" w:rsidRPr="00F51618" w:rsidRDefault="008D4478" w:rsidP="00E32C8F">
          <w:pPr>
            <w:pStyle w:val="Footer"/>
            <w:jc w:val="center"/>
            <w:rPr>
              <w:b/>
              <w:bCs/>
              <w:color w:val="ABABAB"/>
              <w:sz w:val="20"/>
              <w:szCs w:val="20"/>
            </w:rPr>
          </w:pPr>
          <w:r w:rsidRPr="00F51618">
            <w:rPr>
              <w:b/>
              <w:bCs/>
              <w:color w:val="ABABAB"/>
              <w:sz w:val="20"/>
              <w:szCs w:val="20"/>
            </w:rPr>
            <w:t>Date Approved</w:t>
          </w:r>
        </w:p>
      </w:tc>
      <w:tc>
        <w:tcPr>
          <w:tcW w:w="929" w:type="pct"/>
          <w:vAlign w:val="center"/>
        </w:tcPr>
        <w:p w14:paraId="367F3A36" w14:textId="77777777" w:rsidR="008D4478" w:rsidRPr="00F51618" w:rsidRDefault="008D4478" w:rsidP="00E32C8F">
          <w:pPr>
            <w:pStyle w:val="Footer"/>
            <w:jc w:val="center"/>
            <w:rPr>
              <w:b/>
              <w:bCs/>
              <w:color w:val="ABABAB"/>
              <w:sz w:val="20"/>
              <w:szCs w:val="20"/>
            </w:rPr>
          </w:pPr>
          <w:r w:rsidRPr="00F51618">
            <w:rPr>
              <w:b/>
              <w:bCs/>
              <w:color w:val="ABABAB"/>
              <w:sz w:val="20"/>
              <w:szCs w:val="20"/>
            </w:rPr>
            <w:t>Page Number</w:t>
          </w:r>
          <w:r w:rsidRPr="00F51618">
            <w:rPr>
              <w:rStyle w:val="CommentReference"/>
              <w:color w:val="ABABAB"/>
            </w:rPr>
            <w:t/>
          </w:r>
        </w:p>
      </w:tc>
    </w:tr>
    <w:tr w:rsidR="008D4478" w:rsidRPr="00EB6F79" w14:paraId="78C8376E" w14:textId="77777777" w:rsidTr="008D4478">
      <w:trPr>
        <w:trHeight w:val="227"/>
      </w:trPr>
      <w:tc>
        <w:tcPr>
          <w:tcW w:w="626" w:type="pct"/>
          <w:vAlign w:val="center"/>
        </w:tcPr>
        <w:p w14:paraId="0A5BFB02" w14:textId="77777777" w:rsidR="008D4478" w:rsidRPr="00F1052D" w:rsidRDefault="008D4478" w:rsidP="00E32C8F">
          <w:pPr>
            <w:pStyle w:val="Footer"/>
            <w:jc w:val="center"/>
            <w:rPr>
              <w:color w:val="00B0F0"/>
              <w:sz w:val="20"/>
              <w:szCs w:val="20"/>
            </w:rPr>
          </w:pPr>
          <w:r w:rsidRPr="00F1052D">
            <w:rPr>
              <w:color w:val="00B0F0"/>
              <w:sz w:val="20"/>
              <w:szCs w:val="20"/>
            </w:rPr>
            <w:t>#.#</w:t>
          </w:r>
        </w:p>
      </w:tc>
      <w:tc>
        <w:tcPr>
          <w:tcW w:w="2516" w:type="pct"/>
          <w:vAlign w:val="center"/>
        </w:tcPr>
        <w:p w14:paraId="05B9350D" w14:textId="36E5BCA5" w:rsidR="008D4478" w:rsidRPr="00F1052D" w:rsidRDefault="000D3167" w:rsidP="00E32C8F">
          <w:pPr>
            <w:pStyle w:val="Footer"/>
            <w:jc w:val="center"/>
            <w:rPr>
              <w:color w:val="00B0F0"/>
              <w:sz w:val="20"/>
              <w:szCs w:val="20"/>
            </w:rPr>
          </w:pPr>
          <w:r>
            <w:rPr>
              <w:color w:val="00B0F0"/>
              <w:sz w:val="20"/>
              <w:szCs w:val="20"/>
            </w:rPr>
            <w:t>Annual-Leave-Policy</w:t>
          </w:r>
        </w:p>
      </w:tc>
      <w:tc>
        <w:tcPr>
          <w:tcW w:w="929" w:type="pct"/>
          <w:vAlign w:val="center"/>
        </w:tcPr>
        <w:p w14:paraId="2D34E57A" w14:textId="14EF3B88" w:rsidR="008D4478" w:rsidRPr="00F1052D" w:rsidRDefault="006F47FC" w:rsidP="00E32C8F">
          <w:pPr>
            <w:pStyle w:val="Footer"/>
            <w:jc w:val="center"/>
            <w:rPr>
              <w:color w:val="00B0F0"/>
              <w:sz w:val="20"/>
              <w:szCs w:val="20"/>
            </w:rPr>
          </w:pPr>
          <w:r>
            <w:rPr>
              <w:color w:val="00B0F0"/>
              <w:sz w:val="20"/>
              <w:szCs w:val="20"/>
            </w:rPr>
            <w:t>##.##.##</w:t>
          </w:r>
        </w:p>
      </w:tc>
      <w:tc>
        <w:tcPr>
          <w:tcW w:w="929" w:type="pct"/>
          <w:vAlign w:val="center"/>
        </w:tcPr>
        <w:p w14:paraId="6154442C" w14:textId="39F4669B" w:rsidR="008D4478" w:rsidRPr="00F51618" w:rsidRDefault="008D4478" w:rsidP="00E32C8F">
          <w:pPr>
            <w:pStyle w:val="Footer"/>
            <w:jc w:val="center"/>
            <w:rPr>
              <w:color w:val="ABABAB"/>
              <w:sz w:val="20"/>
              <w:szCs w:val="20"/>
            </w:rPr>
          </w:pPr>
          <w:r w:rsidRPr="00E32C8F">
            <w:rPr>
              <w:color w:val="ABABAB"/>
              <w:sz w:val="20"/>
              <w:szCs w:val="20"/>
            </w:rPr>
            <w:fldChar w:fldCharType="begin"/>
          </w:r>
          <w:r w:rsidRPr="00E32C8F">
            <w:rPr>
              <w:color w:val="ABABAB"/>
              <w:sz w:val="20"/>
              <w:szCs w:val="20"/>
            </w:rPr>
            <w:instrText xml:space="preserve"> PAGE   \* MERGEFORMAT </w:instrText>
          </w:r>
          <w:r w:rsidRPr="00E32C8F">
            <w:rPr>
              <w:color w:val="ABABAB"/>
              <w:sz w:val="20"/>
              <w:szCs w:val="20"/>
            </w:rPr>
            <w:fldChar w:fldCharType="separate"/>
          </w:r>
          <w:r w:rsidRPr="00E32C8F">
            <w:rPr>
              <w:noProof/>
              <w:color w:val="ABABAB"/>
              <w:sz w:val="20"/>
              <w:szCs w:val="20"/>
            </w:rPr>
            <w:t>1</w:t>
          </w:r>
          <w:r w:rsidRPr="00E32C8F">
            <w:rPr>
              <w:noProof/>
              <w:color w:val="ABABAB"/>
              <w:sz w:val="20"/>
              <w:szCs w:val="20"/>
            </w:rPr>
            <w:fldChar w:fldCharType="end"/>
          </w:r>
        </w:p>
      </w:tc>
    </w:tr>
  </w:tbl>
  <w:p w14:paraId="340362EF" w14:textId="77777777" w:rsidR="008D4478" w:rsidRDefault="008D4478" w:rsidP="00E32C8F">
    <w:pPr>
      <w:pStyle w:val="Footer"/>
      <w:jc w:val="right"/>
      <w:rPr>
        <w:color w:val="797979"/>
        <w:sz w:val="20"/>
        <w:szCs w:val="20"/>
      </w:rPr>
    </w:pPr>
  </w:p>
  <w:p w14:paraId="454A2B29" w14:textId="6C03B40F" w:rsidR="008D4478" w:rsidRPr="00E32C8F" w:rsidRDefault="008D4478" w:rsidP="00E32C8F">
    <w:pPr>
      <w:pStyle w:val="Footer"/>
      <w:jc w:val="right"/>
      <w:rPr>
        <w:color w:val="ABABAB"/>
        <w:sz w:val="20"/>
        <w:szCs w:val="20"/>
      </w:rPr>
    </w:pPr>
    <w:r w:rsidRPr="00F51618">
      <w:rPr>
        <w:color w:val="ABABAB"/>
        <w:sz w:val="20"/>
        <w:szCs w:val="20"/>
      </w:rPr>
      <w:t>© Focus HR Pty Ltd</w:t>
    </w:r>
    <w:r w:rsidRPr="00F51618">
      <w:rPr>
        <w:rStyle w:val="CommentReference"/>
        <w:color w:val="ABABAB"/>
      </w:rPr>
      <w:t/>
    </w:r>
    <w:r>
      <w:rPr>
        <w:color w:val="ABABAB"/>
        <w:sz w:val="20"/>
        <w:szCs w:val="20"/>
      </w:rPr>
      <w:t xml:space="preserve"> (</w:t>
    </w:r>
    <w:r w:rsidRPr="00F1052D">
      <w:rPr>
        <w:color w:val="ABABAB"/>
        <w:sz w:val="20"/>
        <w:szCs w:val="20"/>
      </w:rPr>
      <w:t>V1</w:t>
    </w:r>
    <w:r>
      <w:rPr>
        <w:color w:val="ABABA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7650" w14:textId="77777777" w:rsidR="0056341A" w:rsidRDefault="0056341A" w:rsidP="00C93F42">
      <w:pPr>
        <w:spacing w:after="0" w:line="240" w:lineRule="auto"/>
      </w:pPr>
      <w:r>
        <w:separator/>
      </w:r>
    </w:p>
  </w:footnote>
  <w:footnote w:type="continuationSeparator" w:id="0">
    <w:p w14:paraId="235A64DA" w14:textId="77777777" w:rsidR="0056341A" w:rsidRDefault="0056341A" w:rsidP="00C9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5406" w14:textId="77777777" w:rsidR="00816116" w:rsidRDefault="00816116" w:rsidP="00FC6151">
    <w:pPr>
      <w:pStyle w:val="Header"/>
      <w:pBdr>
        <w:bottom w:val="single" w:sz="4" w:space="1" w:color="auto"/>
      </w:pBdr>
      <w:tabs>
        <w:tab w:val="clear" w:pos="4513"/>
        <w:tab w:val="clear" w:pos="9026"/>
        <w:tab w:val="left" w:pos="1740"/>
        <w:tab w:val="left" w:pos="1956"/>
        <w:tab w:val="left" w:pos="5250"/>
      </w:tabs>
    </w:pPr>
    <w:r>
      <w:rPr>
        <w:noProof/>
      </w:rPr>
      <w:drawing>
        <wp:anchor distT="0" distB="0" distL="114300" distR="114300" simplePos="0" relativeHeight="251659264" behindDoc="0" locked="0" layoutInCell="1" allowOverlap="1" wp14:anchorId="6DAAB166" wp14:editId="4864761D">
          <wp:simplePos x="0" y="0"/>
          <wp:positionH relativeFrom="margin">
            <wp:align>right</wp:align>
          </wp:positionH>
          <wp:positionV relativeFrom="paragraph">
            <wp:posOffset>-87630</wp:posOffset>
          </wp:positionV>
          <wp:extent cx="115189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3A0C4F42" w14:textId="77777777" w:rsidR="00816116" w:rsidRDefault="00816116" w:rsidP="00FC6151">
    <w:pPr>
      <w:pStyle w:val="Header"/>
      <w:pBdr>
        <w:bottom w:val="single" w:sz="4" w:space="1" w:color="auto"/>
      </w:pBdr>
    </w:pPr>
  </w:p>
  <w:p w14:paraId="7F2D7FF2" w14:textId="77777777" w:rsidR="008D4478" w:rsidRPr="00816116" w:rsidRDefault="008D4478" w:rsidP="0081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5FC4"/>
    <w:multiLevelType w:val="hybridMultilevel"/>
    <w:tmpl w:val="62943174"/>
    <w:lvl w:ilvl="0" w:tplc="0C090001">
      <w:start w:val="1"/>
      <w:numFmt w:val="bullet"/>
      <w:lvlText w:val=""/>
      <w:lvlJc w:val="left"/>
      <w:pPr>
        <w:ind w:left="-1024"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9014D"/>
    <w:multiLevelType w:val="hybridMultilevel"/>
    <w:tmpl w:val="384E93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A765910"/>
    <w:multiLevelType w:val="hybridMultilevel"/>
    <w:tmpl w:val="06704D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DEB73F9"/>
    <w:multiLevelType w:val="hybridMultilevel"/>
    <w:tmpl w:val="CBC2616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E22409A"/>
    <w:multiLevelType w:val="hybridMultilevel"/>
    <w:tmpl w:val="4928ED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2DC070D"/>
    <w:multiLevelType w:val="hybridMultilevel"/>
    <w:tmpl w:val="3B2C5BE4"/>
    <w:lvl w:ilvl="0" w:tplc="0C090001">
      <w:start w:val="1"/>
      <w:numFmt w:val="bullet"/>
      <w:lvlText w:val=""/>
      <w:lvlJc w:val="left"/>
      <w:pPr>
        <w:ind w:left="-1612" w:hanging="360"/>
      </w:pPr>
      <w:rPr>
        <w:rFonts w:ascii="Symbol" w:hAnsi="Symbol" w:hint="default"/>
      </w:rPr>
    </w:lvl>
    <w:lvl w:ilvl="1" w:tplc="0C090003" w:tentative="1">
      <w:start w:val="1"/>
      <w:numFmt w:val="bullet"/>
      <w:lvlText w:val="o"/>
      <w:lvlJc w:val="left"/>
      <w:pPr>
        <w:ind w:left="-892" w:hanging="360"/>
      </w:pPr>
      <w:rPr>
        <w:rFonts w:ascii="Courier New" w:hAnsi="Courier New" w:cs="Courier New" w:hint="default"/>
      </w:rPr>
    </w:lvl>
    <w:lvl w:ilvl="2" w:tplc="0C090005" w:tentative="1">
      <w:start w:val="1"/>
      <w:numFmt w:val="bullet"/>
      <w:lvlText w:val=""/>
      <w:lvlJc w:val="left"/>
      <w:pPr>
        <w:ind w:left="-172" w:hanging="360"/>
      </w:pPr>
      <w:rPr>
        <w:rFonts w:ascii="Wingdings" w:hAnsi="Wingdings" w:hint="default"/>
      </w:rPr>
    </w:lvl>
    <w:lvl w:ilvl="3" w:tplc="0C090001" w:tentative="1">
      <w:start w:val="1"/>
      <w:numFmt w:val="bullet"/>
      <w:lvlText w:val=""/>
      <w:lvlJc w:val="left"/>
      <w:pPr>
        <w:ind w:left="548" w:hanging="360"/>
      </w:pPr>
      <w:rPr>
        <w:rFonts w:ascii="Symbol" w:hAnsi="Symbol" w:hint="default"/>
      </w:rPr>
    </w:lvl>
    <w:lvl w:ilvl="4" w:tplc="0C090003" w:tentative="1">
      <w:start w:val="1"/>
      <w:numFmt w:val="bullet"/>
      <w:lvlText w:val="o"/>
      <w:lvlJc w:val="left"/>
      <w:pPr>
        <w:ind w:left="1268" w:hanging="360"/>
      </w:pPr>
      <w:rPr>
        <w:rFonts w:ascii="Courier New" w:hAnsi="Courier New" w:cs="Courier New" w:hint="default"/>
      </w:rPr>
    </w:lvl>
    <w:lvl w:ilvl="5" w:tplc="0C090005" w:tentative="1">
      <w:start w:val="1"/>
      <w:numFmt w:val="bullet"/>
      <w:lvlText w:val=""/>
      <w:lvlJc w:val="left"/>
      <w:pPr>
        <w:ind w:left="1988" w:hanging="360"/>
      </w:pPr>
      <w:rPr>
        <w:rFonts w:ascii="Wingdings" w:hAnsi="Wingdings" w:hint="default"/>
      </w:rPr>
    </w:lvl>
    <w:lvl w:ilvl="6" w:tplc="0C090001" w:tentative="1">
      <w:start w:val="1"/>
      <w:numFmt w:val="bullet"/>
      <w:lvlText w:val=""/>
      <w:lvlJc w:val="left"/>
      <w:pPr>
        <w:ind w:left="2708" w:hanging="360"/>
      </w:pPr>
      <w:rPr>
        <w:rFonts w:ascii="Symbol" w:hAnsi="Symbol" w:hint="default"/>
      </w:rPr>
    </w:lvl>
    <w:lvl w:ilvl="7" w:tplc="0C090003" w:tentative="1">
      <w:start w:val="1"/>
      <w:numFmt w:val="bullet"/>
      <w:lvlText w:val="o"/>
      <w:lvlJc w:val="left"/>
      <w:pPr>
        <w:ind w:left="3428" w:hanging="360"/>
      </w:pPr>
      <w:rPr>
        <w:rFonts w:ascii="Courier New" w:hAnsi="Courier New" w:cs="Courier New" w:hint="default"/>
      </w:rPr>
    </w:lvl>
    <w:lvl w:ilvl="8" w:tplc="0C090005" w:tentative="1">
      <w:start w:val="1"/>
      <w:numFmt w:val="bullet"/>
      <w:lvlText w:val=""/>
      <w:lvlJc w:val="left"/>
      <w:pPr>
        <w:ind w:left="4148" w:hanging="360"/>
      </w:pPr>
      <w:rPr>
        <w:rFonts w:ascii="Wingdings" w:hAnsi="Wingdings" w:hint="default"/>
      </w:rPr>
    </w:lvl>
  </w:abstractNum>
  <w:abstractNum w:abstractNumId="6" w15:restartNumberingAfterBreak="0">
    <w:nsid w:val="259B5D04"/>
    <w:multiLevelType w:val="hybridMultilevel"/>
    <w:tmpl w:val="4A5C0282"/>
    <w:lvl w:ilvl="0" w:tplc="0C090001">
      <w:start w:val="1"/>
      <w:numFmt w:val="bullet"/>
      <w:lvlText w:val=""/>
      <w:lvlJc w:val="left"/>
      <w:pPr>
        <w:ind w:left="-102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B1CB3"/>
    <w:multiLevelType w:val="hybridMultilevel"/>
    <w:tmpl w:val="0E4E0F54"/>
    <w:lvl w:ilvl="0" w:tplc="0C090001">
      <w:start w:val="1"/>
      <w:numFmt w:val="bullet"/>
      <w:lvlText w:val=""/>
      <w:lvlJc w:val="left"/>
      <w:pPr>
        <w:ind w:left="-1024" w:hanging="360"/>
      </w:pPr>
      <w:rPr>
        <w:rFonts w:ascii="Symbol" w:hAnsi="Symbol" w:hint="default"/>
      </w:rPr>
    </w:lvl>
    <w:lvl w:ilvl="1" w:tplc="0C090003">
      <w:start w:val="1"/>
      <w:numFmt w:val="bullet"/>
      <w:lvlText w:val="o"/>
      <w:lvlJc w:val="left"/>
      <w:pPr>
        <w:ind w:left="-304" w:hanging="360"/>
      </w:pPr>
      <w:rPr>
        <w:rFonts w:ascii="Courier New" w:hAnsi="Courier New" w:cs="Courier New" w:hint="default"/>
      </w:rPr>
    </w:lvl>
    <w:lvl w:ilvl="2" w:tplc="0C090005">
      <w:start w:val="1"/>
      <w:numFmt w:val="bullet"/>
      <w:lvlText w:val=""/>
      <w:lvlJc w:val="left"/>
      <w:pPr>
        <w:ind w:left="416" w:hanging="360"/>
      </w:pPr>
      <w:rPr>
        <w:rFonts w:ascii="Wingdings" w:hAnsi="Wingdings" w:hint="default"/>
      </w:rPr>
    </w:lvl>
    <w:lvl w:ilvl="3" w:tplc="0C090003">
      <w:start w:val="1"/>
      <w:numFmt w:val="bullet"/>
      <w:lvlText w:val="o"/>
      <w:lvlJc w:val="left"/>
      <w:pPr>
        <w:ind w:left="1136" w:hanging="360"/>
      </w:pPr>
      <w:rPr>
        <w:rFonts w:ascii="Courier New" w:hAnsi="Courier New" w:cs="Courier New" w:hint="default"/>
      </w:rPr>
    </w:lvl>
    <w:lvl w:ilvl="4" w:tplc="0C090003" w:tentative="1">
      <w:start w:val="1"/>
      <w:numFmt w:val="bullet"/>
      <w:lvlText w:val="o"/>
      <w:lvlJc w:val="left"/>
      <w:pPr>
        <w:ind w:left="1856" w:hanging="360"/>
      </w:pPr>
      <w:rPr>
        <w:rFonts w:ascii="Courier New" w:hAnsi="Courier New" w:cs="Courier New" w:hint="default"/>
      </w:rPr>
    </w:lvl>
    <w:lvl w:ilvl="5" w:tplc="0C090005" w:tentative="1">
      <w:start w:val="1"/>
      <w:numFmt w:val="bullet"/>
      <w:lvlText w:val=""/>
      <w:lvlJc w:val="left"/>
      <w:pPr>
        <w:ind w:left="2576" w:hanging="360"/>
      </w:pPr>
      <w:rPr>
        <w:rFonts w:ascii="Wingdings" w:hAnsi="Wingdings" w:hint="default"/>
      </w:rPr>
    </w:lvl>
    <w:lvl w:ilvl="6" w:tplc="0C090001" w:tentative="1">
      <w:start w:val="1"/>
      <w:numFmt w:val="bullet"/>
      <w:lvlText w:val=""/>
      <w:lvlJc w:val="left"/>
      <w:pPr>
        <w:ind w:left="3296" w:hanging="360"/>
      </w:pPr>
      <w:rPr>
        <w:rFonts w:ascii="Symbol" w:hAnsi="Symbol" w:hint="default"/>
      </w:rPr>
    </w:lvl>
    <w:lvl w:ilvl="7" w:tplc="0C090003" w:tentative="1">
      <w:start w:val="1"/>
      <w:numFmt w:val="bullet"/>
      <w:lvlText w:val="o"/>
      <w:lvlJc w:val="left"/>
      <w:pPr>
        <w:ind w:left="4016" w:hanging="360"/>
      </w:pPr>
      <w:rPr>
        <w:rFonts w:ascii="Courier New" w:hAnsi="Courier New" w:cs="Courier New" w:hint="default"/>
      </w:rPr>
    </w:lvl>
    <w:lvl w:ilvl="8" w:tplc="0C090005" w:tentative="1">
      <w:start w:val="1"/>
      <w:numFmt w:val="bullet"/>
      <w:lvlText w:val=""/>
      <w:lvlJc w:val="left"/>
      <w:pPr>
        <w:ind w:left="4736" w:hanging="360"/>
      </w:pPr>
      <w:rPr>
        <w:rFonts w:ascii="Wingdings" w:hAnsi="Wingdings" w:hint="default"/>
      </w:rPr>
    </w:lvl>
  </w:abstractNum>
  <w:abstractNum w:abstractNumId="8" w15:restartNumberingAfterBreak="0">
    <w:nsid w:val="354259E9"/>
    <w:multiLevelType w:val="hybridMultilevel"/>
    <w:tmpl w:val="6A0CB2EE"/>
    <w:lvl w:ilvl="0" w:tplc="DDD822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881359"/>
    <w:multiLevelType w:val="hybridMultilevel"/>
    <w:tmpl w:val="0324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F91CDF"/>
    <w:multiLevelType w:val="hybridMultilevel"/>
    <w:tmpl w:val="935E04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A7831EF"/>
    <w:multiLevelType w:val="hybridMultilevel"/>
    <w:tmpl w:val="38381AE0"/>
    <w:lvl w:ilvl="0" w:tplc="B8FADD9A">
      <w:start w:val="1"/>
      <w:numFmt w:val="bullet"/>
      <w:pStyle w:val="DotPointLvl1"/>
      <w:lvlText w:val=""/>
      <w:lvlJc w:val="left"/>
      <w:pPr>
        <w:ind w:left="720" w:hanging="360"/>
      </w:pPr>
      <w:rPr>
        <w:rFonts w:ascii="Symbol" w:hAnsi="Symbol" w:hint="default"/>
      </w:rPr>
    </w:lvl>
    <w:lvl w:ilvl="1" w:tplc="5FC2F9AC">
      <w:start w:val="1"/>
      <w:numFmt w:val="bullet"/>
      <w:pStyle w:val="DotPointLvl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A13ABB"/>
    <w:multiLevelType w:val="hybridMultilevel"/>
    <w:tmpl w:val="B94C2E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A20370A"/>
    <w:multiLevelType w:val="hybridMultilevel"/>
    <w:tmpl w:val="2E68B4B6"/>
    <w:lvl w:ilvl="0" w:tplc="44F499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C042F"/>
    <w:multiLevelType w:val="hybridMultilevel"/>
    <w:tmpl w:val="4094FFA4"/>
    <w:lvl w:ilvl="0" w:tplc="E1F2BA08">
      <w:start w:val="1"/>
      <w:numFmt w:val="bullet"/>
      <w:pStyle w:val="PO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0F520E"/>
    <w:multiLevelType w:val="hybridMultilevel"/>
    <w:tmpl w:val="781AF2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BAB5918"/>
    <w:multiLevelType w:val="multilevel"/>
    <w:tmpl w:val="B1C2CE3C"/>
    <w:lvl w:ilvl="0">
      <w:start w:val="1"/>
      <w:numFmt w:val="decimal"/>
      <w:pStyle w:val="Heading2"/>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77D8677B"/>
    <w:multiLevelType w:val="hybridMultilevel"/>
    <w:tmpl w:val="591CEE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DDC3DD4"/>
    <w:multiLevelType w:val="hybridMultilevel"/>
    <w:tmpl w:val="6498B7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18"/>
  </w:num>
  <w:num w:numId="3">
    <w:abstractNumId w:val="2"/>
  </w:num>
  <w:num w:numId="4">
    <w:abstractNumId w:val="1"/>
  </w:num>
  <w:num w:numId="5">
    <w:abstractNumId w:val="15"/>
  </w:num>
  <w:num w:numId="6">
    <w:abstractNumId w:val="9"/>
  </w:num>
  <w:num w:numId="7">
    <w:abstractNumId w:val="12"/>
  </w:num>
  <w:num w:numId="8">
    <w:abstractNumId w:val="5"/>
  </w:num>
  <w:num w:numId="9">
    <w:abstractNumId w:val="10"/>
  </w:num>
  <w:num w:numId="10">
    <w:abstractNumId w:val="14"/>
  </w:num>
  <w:num w:numId="11">
    <w:abstractNumId w:val="4"/>
  </w:num>
  <w:num w:numId="12">
    <w:abstractNumId w:val="7"/>
  </w:num>
  <w:num w:numId="13">
    <w:abstractNumId w:val="6"/>
  </w:num>
  <w:num w:numId="14">
    <w:abstractNumId w:val="0"/>
  </w:num>
  <w:num w:numId="15">
    <w:abstractNumId w:val="3"/>
  </w:num>
  <w:num w:numId="16">
    <w:abstractNumId w:val="11"/>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42"/>
    <w:rsid w:val="00013D98"/>
    <w:rsid w:val="00014228"/>
    <w:rsid w:val="000144A0"/>
    <w:rsid w:val="00021B9A"/>
    <w:rsid w:val="00046F10"/>
    <w:rsid w:val="00057302"/>
    <w:rsid w:val="00072642"/>
    <w:rsid w:val="00082BFB"/>
    <w:rsid w:val="00083BD7"/>
    <w:rsid w:val="000A1362"/>
    <w:rsid w:val="000A18E4"/>
    <w:rsid w:val="000B3C79"/>
    <w:rsid w:val="000B7637"/>
    <w:rsid w:val="000C200F"/>
    <w:rsid w:val="000D2A8B"/>
    <w:rsid w:val="000D3167"/>
    <w:rsid w:val="000D330A"/>
    <w:rsid w:val="000D4006"/>
    <w:rsid w:val="000E5848"/>
    <w:rsid w:val="000F5659"/>
    <w:rsid w:val="000F6EE5"/>
    <w:rsid w:val="00103FDE"/>
    <w:rsid w:val="00104B4F"/>
    <w:rsid w:val="00123E9F"/>
    <w:rsid w:val="00125298"/>
    <w:rsid w:val="00143ACC"/>
    <w:rsid w:val="00147F56"/>
    <w:rsid w:val="001539D4"/>
    <w:rsid w:val="0015541C"/>
    <w:rsid w:val="001567B0"/>
    <w:rsid w:val="00160060"/>
    <w:rsid w:val="00160578"/>
    <w:rsid w:val="001751F1"/>
    <w:rsid w:val="00177FFD"/>
    <w:rsid w:val="0018195B"/>
    <w:rsid w:val="00182019"/>
    <w:rsid w:val="00187D7F"/>
    <w:rsid w:val="00191702"/>
    <w:rsid w:val="00197873"/>
    <w:rsid w:val="001A4541"/>
    <w:rsid w:val="001B413C"/>
    <w:rsid w:val="001B58EB"/>
    <w:rsid w:val="001B7D13"/>
    <w:rsid w:val="001C3623"/>
    <w:rsid w:val="001C390D"/>
    <w:rsid w:val="001C7D82"/>
    <w:rsid w:val="001D0DAF"/>
    <w:rsid w:val="001D798C"/>
    <w:rsid w:val="002124FF"/>
    <w:rsid w:val="00214D7A"/>
    <w:rsid w:val="002162E2"/>
    <w:rsid w:val="00220407"/>
    <w:rsid w:val="0022288F"/>
    <w:rsid w:val="00231192"/>
    <w:rsid w:val="00233FB0"/>
    <w:rsid w:val="00245C34"/>
    <w:rsid w:val="002477A8"/>
    <w:rsid w:val="00252BB8"/>
    <w:rsid w:val="00254DC6"/>
    <w:rsid w:val="002750EA"/>
    <w:rsid w:val="002774A0"/>
    <w:rsid w:val="00281EEB"/>
    <w:rsid w:val="00285765"/>
    <w:rsid w:val="00290C17"/>
    <w:rsid w:val="002930EA"/>
    <w:rsid w:val="002A4BA1"/>
    <w:rsid w:val="002B5B7D"/>
    <w:rsid w:val="002C0201"/>
    <w:rsid w:val="002F2127"/>
    <w:rsid w:val="002F51EB"/>
    <w:rsid w:val="00302423"/>
    <w:rsid w:val="003176E3"/>
    <w:rsid w:val="00320563"/>
    <w:rsid w:val="00335457"/>
    <w:rsid w:val="0033763E"/>
    <w:rsid w:val="00353AEB"/>
    <w:rsid w:val="0035525F"/>
    <w:rsid w:val="00361DD1"/>
    <w:rsid w:val="00362169"/>
    <w:rsid w:val="00363C1B"/>
    <w:rsid w:val="00371446"/>
    <w:rsid w:val="0037164D"/>
    <w:rsid w:val="00374A29"/>
    <w:rsid w:val="00383DEB"/>
    <w:rsid w:val="00386674"/>
    <w:rsid w:val="003905EC"/>
    <w:rsid w:val="003926B0"/>
    <w:rsid w:val="003A3DAC"/>
    <w:rsid w:val="003A4032"/>
    <w:rsid w:val="003A6819"/>
    <w:rsid w:val="003C00F5"/>
    <w:rsid w:val="003D122F"/>
    <w:rsid w:val="003E0320"/>
    <w:rsid w:val="003E3519"/>
    <w:rsid w:val="003E5699"/>
    <w:rsid w:val="003E5CDB"/>
    <w:rsid w:val="003E7FFE"/>
    <w:rsid w:val="003F0125"/>
    <w:rsid w:val="003F64AA"/>
    <w:rsid w:val="00400F3C"/>
    <w:rsid w:val="00407FA2"/>
    <w:rsid w:val="0041076D"/>
    <w:rsid w:val="00410CAC"/>
    <w:rsid w:val="00424BB5"/>
    <w:rsid w:val="00436653"/>
    <w:rsid w:val="00450308"/>
    <w:rsid w:val="00451864"/>
    <w:rsid w:val="00456148"/>
    <w:rsid w:val="00461A3B"/>
    <w:rsid w:val="00466E12"/>
    <w:rsid w:val="00466EBB"/>
    <w:rsid w:val="004826E4"/>
    <w:rsid w:val="00484363"/>
    <w:rsid w:val="00494BFD"/>
    <w:rsid w:val="004A034A"/>
    <w:rsid w:val="004B36ED"/>
    <w:rsid w:val="004C7BA7"/>
    <w:rsid w:val="004D2449"/>
    <w:rsid w:val="004D2E62"/>
    <w:rsid w:val="004E668A"/>
    <w:rsid w:val="004F4B4A"/>
    <w:rsid w:val="00501CFF"/>
    <w:rsid w:val="005054FE"/>
    <w:rsid w:val="00521511"/>
    <w:rsid w:val="00521AAC"/>
    <w:rsid w:val="00522CF5"/>
    <w:rsid w:val="00524ADA"/>
    <w:rsid w:val="0054197A"/>
    <w:rsid w:val="00544E18"/>
    <w:rsid w:val="0056341A"/>
    <w:rsid w:val="00571E44"/>
    <w:rsid w:val="005765A8"/>
    <w:rsid w:val="00586F6E"/>
    <w:rsid w:val="0059177E"/>
    <w:rsid w:val="005A17D2"/>
    <w:rsid w:val="005A29D4"/>
    <w:rsid w:val="005A3F5E"/>
    <w:rsid w:val="005A72E6"/>
    <w:rsid w:val="005C0070"/>
    <w:rsid w:val="005C1D93"/>
    <w:rsid w:val="005C4495"/>
    <w:rsid w:val="005D10EE"/>
    <w:rsid w:val="005D24E9"/>
    <w:rsid w:val="005D6F5E"/>
    <w:rsid w:val="005E508F"/>
    <w:rsid w:val="00601DB8"/>
    <w:rsid w:val="00604815"/>
    <w:rsid w:val="006277F9"/>
    <w:rsid w:val="0063181E"/>
    <w:rsid w:val="006478FA"/>
    <w:rsid w:val="00653825"/>
    <w:rsid w:val="00662F07"/>
    <w:rsid w:val="00664C14"/>
    <w:rsid w:val="0067420B"/>
    <w:rsid w:val="006835B8"/>
    <w:rsid w:val="006B7899"/>
    <w:rsid w:val="006E1720"/>
    <w:rsid w:val="006E3BD8"/>
    <w:rsid w:val="006F47FC"/>
    <w:rsid w:val="006F55BF"/>
    <w:rsid w:val="007009BD"/>
    <w:rsid w:val="00702B64"/>
    <w:rsid w:val="007060D1"/>
    <w:rsid w:val="00711CB2"/>
    <w:rsid w:val="00722848"/>
    <w:rsid w:val="0072669A"/>
    <w:rsid w:val="00726F74"/>
    <w:rsid w:val="00747AC6"/>
    <w:rsid w:val="00747CBF"/>
    <w:rsid w:val="007531DA"/>
    <w:rsid w:val="00761921"/>
    <w:rsid w:val="00762967"/>
    <w:rsid w:val="00763AA7"/>
    <w:rsid w:val="00790D2D"/>
    <w:rsid w:val="00792508"/>
    <w:rsid w:val="007A300A"/>
    <w:rsid w:val="007A4185"/>
    <w:rsid w:val="007A7BFA"/>
    <w:rsid w:val="007B1745"/>
    <w:rsid w:val="007C435B"/>
    <w:rsid w:val="007E32F2"/>
    <w:rsid w:val="007E6DC6"/>
    <w:rsid w:val="007F0F68"/>
    <w:rsid w:val="0080097A"/>
    <w:rsid w:val="00802A12"/>
    <w:rsid w:val="00804EDE"/>
    <w:rsid w:val="008067C8"/>
    <w:rsid w:val="00806850"/>
    <w:rsid w:val="008118EE"/>
    <w:rsid w:val="00816005"/>
    <w:rsid w:val="00816116"/>
    <w:rsid w:val="00816358"/>
    <w:rsid w:val="00816FEE"/>
    <w:rsid w:val="00822307"/>
    <w:rsid w:val="00822C29"/>
    <w:rsid w:val="0083286C"/>
    <w:rsid w:val="00850119"/>
    <w:rsid w:val="00862A7A"/>
    <w:rsid w:val="00862B7D"/>
    <w:rsid w:val="00865892"/>
    <w:rsid w:val="008806F1"/>
    <w:rsid w:val="00885418"/>
    <w:rsid w:val="00895723"/>
    <w:rsid w:val="00896FDD"/>
    <w:rsid w:val="008A3F73"/>
    <w:rsid w:val="008B6D54"/>
    <w:rsid w:val="008C6986"/>
    <w:rsid w:val="008D4478"/>
    <w:rsid w:val="008D7372"/>
    <w:rsid w:val="008E6973"/>
    <w:rsid w:val="008F211B"/>
    <w:rsid w:val="008F4E73"/>
    <w:rsid w:val="009041E6"/>
    <w:rsid w:val="009052A5"/>
    <w:rsid w:val="00915B43"/>
    <w:rsid w:val="009254F0"/>
    <w:rsid w:val="00933E2F"/>
    <w:rsid w:val="009438A6"/>
    <w:rsid w:val="0094667C"/>
    <w:rsid w:val="00954D70"/>
    <w:rsid w:val="0099143B"/>
    <w:rsid w:val="00992093"/>
    <w:rsid w:val="0099553D"/>
    <w:rsid w:val="009B0C9E"/>
    <w:rsid w:val="009B1437"/>
    <w:rsid w:val="009B18C5"/>
    <w:rsid w:val="009B5BFB"/>
    <w:rsid w:val="009C13E6"/>
    <w:rsid w:val="009D383B"/>
    <w:rsid w:val="009D550D"/>
    <w:rsid w:val="009D7B9E"/>
    <w:rsid w:val="009E106D"/>
    <w:rsid w:val="009E10CE"/>
    <w:rsid w:val="009E67FB"/>
    <w:rsid w:val="009E71C0"/>
    <w:rsid w:val="00A00411"/>
    <w:rsid w:val="00A0090B"/>
    <w:rsid w:val="00A06E35"/>
    <w:rsid w:val="00A10F29"/>
    <w:rsid w:val="00A2286C"/>
    <w:rsid w:val="00A22A4A"/>
    <w:rsid w:val="00A23846"/>
    <w:rsid w:val="00A26263"/>
    <w:rsid w:val="00A31F5F"/>
    <w:rsid w:val="00A34BA5"/>
    <w:rsid w:val="00A37C4C"/>
    <w:rsid w:val="00A40DD7"/>
    <w:rsid w:val="00A44CAB"/>
    <w:rsid w:val="00A56CBA"/>
    <w:rsid w:val="00A61DB6"/>
    <w:rsid w:val="00A72B32"/>
    <w:rsid w:val="00A85176"/>
    <w:rsid w:val="00AA301B"/>
    <w:rsid w:val="00AA6693"/>
    <w:rsid w:val="00AC73FE"/>
    <w:rsid w:val="00AD40F4"/>
    <w:rsid w:val="00AF3C80"/>
    <w:rsid w:val="00B073A5"/>
    <w:rsid w:val="00B11B02"/>
    <w:rsid w:val="00B2203B"/>
    <w:rsid w:val="00B24379"/>
    <w:rsid w:val="00B27560"/>
    <w:rsid w:val="00B44A16"/>
    <w:rsid w:val="00B476E8"/>
    <w:rsid w:val="00B53B00"/>
    <w:rsid w:val="00B55ECC"/>
    <w:rsid w:val="00B72BED"/>
    <w:rsid w:val="00B83FD7"/>
    <w:rsid w:val="00BB3FCB"/>
    <w:rsid w:val="00BB4CA4"/>
    <w:rsid w:val="00BB5B7F"/>
    <w:rsid w:val="00BC5C8E"/>
    <w:rsid w:val="00BD3777"/>
    <w:rsid w:val="00BE3672"/>
    <w:rsid w:val="00BE662E"/>
    <w:rsid w:val="00BE6B6B"/>
    <w:rsid w:val="00BF79BF"/>
    <w:rsid w:val="00C03646"/>
    <w:rsid w:val="00C0391B"/>
    <w:rsid w:val="00C04AC0"/>
    <w:rsid w:val="00C2118F"/>
    <w:rsid w:val="00C223C2"/>
    <w:rsid w:val="00C27485"/>
    <w:rsid w:val="00C3442C"/>
    <w:rsid w:val="00C347F6"/>
    <w:rsid w:val="00C34904"/>
    <w:rsid w:val="00C55956"/>
    <w:rsid w:val="00C62275"/>
    <w:rsid w:val="00C625A5"/>
    <w:rsid w:val="00C7065D"/>
    <w:rsid w:val="00C84764"/>
    <w:rsid w:val="00C9377F"/>
    <w:rsid w:val="00C93F42"/>
    <w:rsid w:val="00C97B9E"/>
    <w:rsid w:val="00CA04F6"/>
    <w:rsid w:val="00CA15E3"/>
    <w:rsid w:val="00CA1BC9"/>
    <w:rsid w:val="00CA4045"/>
    <w:rsid w:val="00CA5C63"/>
    <w:rsid w:val="00CB6F4F"/>
    <w:rsid w:val="00CC05EE"/>
    <w:rsid w:val="00CD236B"/>
    <w:rsid w:val="00CD2981"/>
    <w:rsid w:val="00CE4B38"/>
    <w:rsid w:val="00CF42BA"/>
    <w:rsid w:val="00CF56CC"/>
    <w:rsid w:val="00D021F4"/>
    <w:rsid w:val="00D04B54"/>
    <w:rsid w:val="00D15FD5"/>
    <w:rsid w:val="00D337C2"/>
    <w:rsid w:val="00D40DB5"/>
    <w:rsid w:val="00D54380"/>
    <w:rsid w:val="00D54C4D"/>
    <w:rsid w:val="00D57689"/>
    <w:rsid w:val="00D664B1"/>
    <w:rsid w:val="00D70D2C"/>
    <w:rsid w:val="00D72A7A"/>
    <w:rsid w:val="00D82023"/>
    <w:rsid w:val="00D82E3C"/>
    <w:rsid w:val="00D9338F"/>
    <w:rsid w:val="00D95C60"/>
    <w:rsid w:val="00DA1364"/>
    <w:rsid w:val="00DC002C"/>
    <w:rsid w:val="00DC2CFC"/>
    <w:rsid w:val="00DD0A34"/>
    <w:rsid w:val="00DD0D02"/>
    <w:rsid w:val="00DD2C0D"/>
    <w:rsid w:val="00DE7C9D"/>
    <w:rsid w:val="00DF0D3C"/>
    <w:rsid w:val="00E05A9E"/>
    <w:rsid w:val="00E1168D"/>
    <w:rsid w:val="00E1236D"/>
    <w:rsid w:val="00E17CA7"/>
    <w:rsid w:val="00E31EC0"/>
    <w:rsid w:val="00E32C8F"/>
    <w:rsid w:val="00E34861"/>
    <w:rsid w:val="00E47EB7"/>
    <w:rsid w:val="00E51826"/>
    <w:rsid w:val="00E51D2D"/>
    <w:rsid w:val="00E63EFC"/>
    <w:rsid w:val="00E64D98"/>
    <w:rsid w:val="00E65224"/>
    <w:rsid w:val="00E76FF6"/>
    <w:rsid w:val="00E80503"/>
    <w:rsid w:val="00E910AF"/>
    <w:rsid w:val="00E97E3F"/>
    <w:rsid w:val="00EA6DF9"/>
    <w:rsid w:val="00EC4027"/>
    <w:rsid w:val="00ED1A22"/>
    <w:rsid w:val="00EE4D30"/>
    <w:rsid w:val="00EE55BB"/>
    <w:rsid w:val="00EF466D"/>
    <w:rsid w:val="00F03FA5"/>
    <w:rsid w:val="00F34DD2"/>
    <w:rsid w:val="00F43867"/>
    <w:rsid w:val="00F5310D"/>
    <w:rsid w:val="00F54246"/>
    <w:rsid w:val="00F60A86"/>
    <w:rsid w:val="00F64941"/>
    <w:rsid w:val="00F67E36"/>
    <w:rsid w:val="00F72813"/>
    <w:rsid w:val="00F742CC"/>
    <w:rsid w:val="00F7719E"/>
    <w:rsid w:val="00F82B33"/>
    <w:rsid w:val="00F91E84"/>
    <w:rsid w:val="00FA7D11"/>
    <w:rsid w:val="00FA7E0D"/>
    <w:rsid w:val="00FB3BF6"/>
    <w:rsid w:val="00FB7E88"/>
    <w:rsid w:val="00FD1C3E"/>
    <w:rsid w:val="00FD668D"/>
    <w:rsid w:val="00FE1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0C12"/>
  <w15:chartTrackingRefBased/>
  <w15:docId w15:val="{AAE302F4-8392-4C4B-A6BD-8416019C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42"/>
  </w:style>
  <w:style w:type="paragraph" w:styleId="Heading1">
    <w:name w:val="heading 1"/>
    <w:basedOn w:val="Normal"/>
    <w:next w:val="Normal"/>
    <w:link w:val="Heading1Char"/>
    <w:uiPriority w:val="9"/>
    <w:qFormat/>
    <w:rsid w:val="001D798C"/>
    <w:pPr>
      <w:keepNext/>
      <w:keepLines/>
      <w:spacing w:before="240" w:after="240"/>
      <w:jc w:val="both"/>
      <w:outlineLvl w:val="0"/>
    </w:pPr>
    <w:rPr>
      <w:rFonts w:ascii="Franklin Gothic Medium Cond" w:eastAsiaTheme="majorEastAsia" w:hAnsi="Franklin Gothic Medium Cond" w:cstheme="majorBidi"/>
      <w:color w:val="000000" w:themeColor="text1"/>
      <w:sz w:val="36"/>
      <w:szCs w:val="36"/>
    </w:rPr>
  </w:style>
  <w:style w:type="paragraph" w:styleId="Heading2">
    <w:name w:val="heading 2"/>
    <w:basedOn w:val="Heading1"/>
    <w:next w:val="Normal"/>
    <w:link w:val="Heading2Char"/>
    <w:uiPriority w:val="9"/>
    <w:unhideWhenUsed/>
    <w:qFormat/>
    <w:rsid w:val="00722848"/>
    <w:pPr>
      <w:numPr>
        <w:numId w:val="19"/>
      </w:numPr>
      <w:jc w:val="left"/>
      <w:outlineLvl w:val="1"/>
    </w:pPr>
  </w:style>
  <w:style w:type="paragraph" w:styleId="Heading3">
    <w:name w:val="heading 3"/>
    <w:basedOn w:val="Normal"/>
    <w:next w:val="Normal"/>
    <w:link w:val="Heading3Char"/>
    <w:uiPriority w:val="9"/>
    <w:semiHidden/>
    <w:unhideWhenUsed/>
    <w:qFormat/>
    <w:rsid w:val="00353A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F42"/>
    <w:rPr>
      <w:rFonts w:ascii="Segoe UI" w:hAnsi="Segoe UI" w:cs="Segoe UI"/>
      <w:sz w:val="18"/>
      <w:szCs w:val="18"/>
    </w:rPr>
  </w:style>
  <w:style w:type="paragraph" w:styleId="NoSpacing">
    <w:name w:val="No Spacing"/>
    <w:link w:val="NoSpacingChar"/>
    <w:uiPriority w:val="1"/>
    <w:qFormat/>
    <w:rsid w:val="00C93F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3F42"/>
    <w:rPr>
      <w:rFonts w:eastAsiaTheme="minorEastAsia"/>
      <w:lang w:val="en-US"/>
    </w:rPr>
  </w:style>
  <w:style w:type="paragraph" w:styleId="Title">
    <w:name w:val="Title"/>
    <w:basedOn w:val="Normal"/>
    <w:next w:val="Normal"/>
    <w:link w:val="TitleChar"/>
    <w:uiPriority w:val="10"/>
    <w:qFormat/>
    <w:rsid w:val="00C93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F42"/>
    <w:rPr>
      <w:rFonts w:asciiTheme="majorHAnsi" w:eastAsiaTheme="majorEastAsia" w:hAnsiTheme="majorHAnsi" w:cstheme="majorBidi"/>
      <w:spacing w:val="-10"/>
      <w:kern w:val="28"/>
      <w:sz w:val="56"/>
      <w:szCs w:val="56"/>
    </w:rPr>
  </w:style>
  <w:style w:type="table" w:styleId="TableGrid">
    <w:name w:val="Table Grid"/>
    <w:basedOn w:val="TableNormal"/>
    <w:rsid w:val="00C9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3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42"/>
  </w:style>
  <w:style w:type="paragraph" w:styleId="Footer">
    <w:name w:val="footer"/>
    <w:basedOn w:val="Normal"/>
    <w:link w:val="FooterChar"/>
    <w:uiPriority w:val="99"/>
    <w:unhideWhenUsed/>
    <w:rsid w:val="00C93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42"/>
  </w:style>
  <w:style w:type="character" w:styleId="CommentReference">
    <w:name w:val="annotation reference"/>
    <w:basedOn w:val="DefaultParagraphFont"/>
    <w:uiPriority w:val="99"/>
    <w:semiHidden/>
    <w:unhideWhenUsed/>
    <w:rsid w:val="00C93F42"/>
    <w:rPr>
      <w:sz w:val="16"/>
      <w:szCs w:val="16"/>
    </w:rPr>
  </w:style>
  <w:style w:type="character" w:customStyle="1" w:styleId="Heading1Char">
    <w:name w:val="Heading 1 Char"/>
    <w:basedOn w:val="DefaultParagraphFont"/>
    <w:link w:val="Heading1"/>
    <w:uiPriority w:val="9"/>
    <w:rsid w:val="001D798C"/>
    <w:rPr>
      <w:rFonts w:ascii="Franklin Gothic Medium Cond" w:eastAsiaTheme="majorEastAsia" w:hAnsi="Franklin Gothic Medium Cond" w:cstheme="majorBidi"/>
      <w:color w:val="000000" w:themeColor="text1"/>
      <w:sz w:val="36"/>
      <w:szCs w:val="36"/>
    </w:rPr>
  </w:style>
  <w:style w:type="paragraph" w:styleId="TOCHeading">
    <w:name w:val="TOC Heading"/>
    <w:basedOn w:val="Heading1"/>
    <w:next w:val="Normal"/>
    <w:uiPriority w:val="39"/>
    <w:unhideWhenUsed/>
    <w:qFormat/>
    <w:rsid w:val="001C7D82"/>
    <w:pPr>
      <w:outlineLvl w:val="9"/>
    </w:pPr>
    <w:rPr>
      <w:lang w:val="en-US"/>
    </w:rPr>
  </w:style>
  <w:style w:type="paragraph" w:styleId="CommentText">
    <w:name w:val="annotation text"/>
    <w:basedOn w:val="Normal"/>
    <w:link w:val="CommentTextChar"/>
    <w:uiPriority w:val="99"/>
    <w:semiHidden/>
    <w:unhideWhenUsed/>
    <w:rsid w:val="00A23846"/>
    <w:pPr>
      <w:spacing w:line="240" w:lineRule="auto"/>
    </w:pPr>
    <w:rPr>
      <w:sz w:val="20"/>
      <w:szCs w:val="20"/>
    </w:rPr>
  </w:style>
  <w:style w:type="character" w:customStyle="1" w:styleId="CommentTextChar">
    <w:name w:val="Comment Text Char"/>
    <w:basedOn w:val="DefaultParagraphFont"/>
    <w:link w:val="CommentText"/>
    <w:uiPriority w:val="99"/>
    <w:semiHidden/>
    <w:rsid w:val="00A23846"/>
    <w:rPr>
      <w:sz w:val="20"/>
      <w:szCs w:val="20"/>
    </w:rPr>
  </w:style>
  <w:style w:type="paragraph" w:styleId="CommentSubject">
    <w:name w:val="annotation subject"/>
    <w:basedOn w:val="CommentText"/>
    <w:next w:val="CommentText"/>
    <w:link w:val="CommentSubjectChar"/>
    <w:uiPriority w:val="99"/>
    <w:semiHidden/>
    <w:unhideWhenUsed/>
    <w:rsid w:val="00A23846"/>
    <w:rPr>
      <w:b/>
      <w:bCs/>
    </w:rPr>
  </w:style>
  <w:style w:type="character" w:customStyle="1" w:styleId="CommentSubjectChar">
    <w:name w:val="Comment Subject Char"/>
    <w:basedOn w:val="CommentTextChar"/>
    <w:link w:val="CommentSubject"/>
    <w:uiPriority w:val="99"/>
    <w:semiHidden/>
    <w:rsid w:val="00A23846"/>
    <w:rPr>
      <w:b/>
      <w:bCs/>
      <w:sz w:val="20"/>
      <w:szCs w:val="20"/>
    </w:rPr>
  </w:style>
  <w:style w:type="paragraph" w:styleId="ListParagraph">
    <w:name w:val="List Paragraph"/>
    <w:basedOn w:val="Normal"/>
    <w:link w:val="ListParagraphChar"/>
    <w:uiPriority w:val="34"/>
    <w:qFormat/>
    <w:rsid w:val="000D2A8B"/>
    <w:pPr>
      <w:ind w:left="720"/>
      <w:contextualSpacing/>
    </w:pPr>
  </w:style>
  <w:style w:type="character" w:customStyle="1" w:styleId="ListParagraphChar">
    <w:name w:val="List Paragraph Char"/>
    <w:basedOn w:val="DefaultParagraphFont"/>
    <w:link w:val="ListParagraph"/>
    <w:uiPriority w:val="34"/>
    <w:rsid w:val="000D2A8B"/>
  </w:style>
  <w:style w:type="character" w:styleId="Hyperlink">
    <w:name w:val="Hyperlink"/>
    <w:basedOn w:val="DefaultParagraphFont"/>
    <w:uiPriority w:val="99"/>
    <w:unhideWhenUsed/>
    <w:rsid w:val="00C2118F"/>
    <w:rPr>
      <w:color w:val="0563C1" w:themeColor="hyperlink"/>
      <w:u w:val="single"/>
    </w:rPr>
  </w:style>
  <w:style w:type="character" w:styleId="UnresolvedMention">
    <w:name w:val="Unresolved Mention"/>
    <w:basedOn w:val="DefaultParagraphFont"/>
    <w:uiPriority w:val="99"/>
    <w:semiHidden/>
    <w:unhideWhenUsed/>
    <w:rsid w:val="00C2118F"/>
    <w:rPr>
      <w:color w:val="605E5C"/>
      <w:shd w:val="clear" w:color="auto" w:fill="E1DFDD"/>
    </w:rPr>
  </w:style>
  <w:style w:type="character" w:customStyle="1" w:styleId="Heading2Char">
    <w:name w:val="Heading 2 Char"/>
    <w:basedOn w:val="DefaultParagraphFont"/>
    <w:link w:val="Heading2"/>
    <w:uiPriority w:val="9"/>
    <w:rsid w:val="00722848"/>
    <w:rPr>
      <w:rFonts w:ascii="Franklin Gothic Medium Cond" w:eastAsiaTheme="majorEastAsia" w:hAnsi="Franklin Gothic Medium Cond" w:cstheme="majorBidi"/>
      <w:color w:val="000000" w:themeColor="text1"/>
      <w:sz w:val="36"/>
      <w:szCs w:val="36"/>
    </w:rPr>
  </w:style>
  <w:style w:type="paragraph" w:styleId="TOC1">
    <w:name w:val="toc 1"/>
    <w:basedOn w:val="Normal"/>
    <w:next w:val="Normal"/>
    <w:autoRedefine/>
    <w:uiPriority w:val="39"/>
    <w:unhideWhenUsed/>
    <w:rsid w:val="00D72A7A"/>
    <w:pPr>
      <w:spacing w:after="100"/>
    </w:pPr>
  </w:style>
  <w:style w:type="character" w:customStyle="1" w:styleId="Heading3Char">
    <w:name w:val="Heading 3 Char"/>
    <w:basedOn w:val="DefaultParagraphFont"/>
    <w:link w:val="Heading3"/>
    <w:uiPriority w:val="9"/>
    <w:semiHidden/>
    <w:rsid w:val="00353AEB"/>
    <w:rPr>
      <w:rFonts w:asciiTheme="majorHAnsi" w:eastAsiaTheme="majorEastAsia" w:hAnsiTheme="majorHAnsi" w:cstheme="majorBidi"/>
      <w:color w:val="1F3763" w:themeColor="accent1" w:themeShade="7F"/>
      <w:sz w:val="24"/>
      <w:szCs w:val="24"/>
    </w:rPr>
  </w:style>
  <w:style w:type="paragraph" w:customStyle="1" w:styleId="POLDotPoints">
    <w:name w:val="POL Dot Points"/>
    <w:basedOn w:val="ListParagraph"/>
    <w:qFormat/>
    <w:rsid w:val="002B5B7D"/>
    <w:pPr>
      <w:numPr>
        <w:numId w:val="10"/>
      </w:numPr>
      <w:spacing w:line="240" w:lineRule="auto"/>
      <w:jc w:val="both"/>
    </w:pPr>
  </w:style>
  <w:style w:type="paragraph" w:customStyle="1" w:styleId="POLHeading1">
    <w:name w:val="POL Heading 1"/>
    <w:basedOn w:val="Normal"/>
    <w:link w:val="POLHeading1Char"/>
    <w:qFormat/>
    <w:rsid w:val="0059177E"/>
    <w:pPr>
      <w:spacing w:line="240" w:lineRule="auto"/>
      <w:jc w:val="both"/>
    </w:pPr>
    <w:rPr>
      <w:b/>
      <w:bCs/>
      <w:u w:val="single"/>
    </w:rPr>
  </w:style>
  <w:style w:type="character" w:customStyle="1" w:styleId="POLHeading1Char">
    <w:name w:val="POL Heading 1 Char"/>
    <w:basedOn w:val="DefaultParagraphFont"/>
    <w:link w:val="POLHeading1"/>
    <w:rsid w:val="0059177E"/>
    <w:rPr>
      <w:b/>
      <w:bCs/>
      <w:u w:val="single"/>
    </w:rPr>
  </w:style>
  <w:style w:type="paragraph" w:customStyle="1" w:styleId="POLTextIndent1">
    <w:name w:val="POL Text Indent 1"/>
    <w:basedOn w:val="Normal"/>
    <w:link w:val="POLTextIndent1Char"/>
    <w:qFormat/>
    <w:rsid w:val="009C13E6"/>
    <w:pPr>
      <w:spacing w:line="240" w:lineRule="auto"/>
      <w:ind w:left="284"/>
      <w:jc w:val="both"/>
    </w:pPr>
  </w:style>
  <w:style w:type="character" w:customStyle="1" w:styleId="POLTextIndent1Char">
    <w:name w:val="POL Text Indent 1 Char"/>
    <w:basedOn w:val="DefaultParagraphFont"/>
    <w:link w:val="POLTextIndent1"/>
    <w:rsid w:val="009C13E6"/>
  </w:style>
  <w:style w:type="paragraph" w:customStyle="1" w:styleId="POLTextIndent2">
    <w:name w:val="POL Text Indent 2"/>
    <w:basedOn w:val="Normal"/>
    <w:link w:val="POLTextIndent2Char"/>
    <w:qFormat/>
    <w:rsid w:val="005A72E6"/>
    <w:pPr>
      <w:spacing w:line="240" w:lineRule="auto"/>
      <w:ind w:left="567"/>
      <w:jc w:val="both"/>
    </w:pPr>
  </w:style>
  <w:style w:type="character" w:customStyle="1" w:styleId="POLTextIndent2Char">
    <w:name w:val="POL Text Indent 2 Char"/>
    <w:basedOn w:val="DefaultParagraphFont"/>
    <w:link w:val="POLTextIndent2"/>
    <w:rsid w:val="005A72E6"/>
  </w:style>
  <w:style w:type="paragraph" w:customStyle="1" w:styleId="DotPointLvl1">
    <w:name w:val="Dot Point Lvl 1"/>
    <w:basedOn w:val="ListParagraph"/>
    <w:link w:val="DotPointLvl1Char"/>
    <w:qFormat/>
    <w:rsid w:val="009B5BFB"/>
    <w:pPr>
      <w:numPr>
        <w:numId w:val="16"/>
      </w:numPr>
      <w:ind w:left="754" w:hanging="357"/>
      <w:jc w:val="both"/>
    </w:pPr>
  </w:style>
  <w:style w:type="paragraph" w:customStyle="1" w:styleId="DotPointLvl2">
    <w:name w:val="Dot Point Lvl 2"/>
    <w:basedOn w:val="DotPointLvl1"/>
    <w:link w:val="DotPointLvl2Char"/>
    <w:qFormat/>
    <w:rsid w:val="00604815"/>
    <w:pPr>
      <w:numPr>
        <w:ilvl w:val="1"/>
      </w:numPr>
      <w:spacing w:after="0"/>
    </w:pPr>
  </w:style>
  <w:style w:type="character" w:customStyle="1" w:styleId="DotPointLvl1Char">
    <w:name w:val="Dot Point Lvl 1 Char"/>
    <w:basedOn w:val="ListParagraphChar"/>
    <w:link w:val="DotPointLvl1"/>
    <w:rsid w:val="009B5BFB"/>
  </w:style>
  <w:style w:type="paragraph" w:styleId="TOC2">
    <w:name w:val="toc 2"/>
    <w:basedOn w:val="Normal"/>
    <w:next w:val="Normal"/>
    <w:autoRedefine/>
    <w:uiPriority w:val="39"/>
    <w:unhideWhenUsed/>
    <w:rsid w:val="008D7372"/>
    <w:pPr>
      <w:spacing w:after="100"/>
      <w:ind w:left="220"/>
    </w:pPr>
  </w:style>
  <w:style w:type="character" w:customStyle="1" w:styleId="DotPointLvl2Char">
    <w:name w:val="Dot Point Lvl 2 Char"/>
    <w:basedOn w:val="DotPointLvl1Char"/>
    <w:link w:val="DotPointLvl2"/>
    <w:rsid w:val="00604815"/>
  </w:style>
  <w:style w:type="paragraph" w:styleId="Revision">
    <w:name w:val="Revision"/>
    <w:hidden/>
    <w:uiPriority w:val="99"/>
    <w:semiHidden/>
    <w:rsid w:val="00A10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3B1EA9A99A947A14FDF0A2D78C968" ma:contentTypeVersion="13" ma:contentTypeDescription="Create a new document." ma:contentTypeScope="" ma:versionID="011548427c7e337343391b34423b6259">
  <xsd:schema xmlns:xsd="http://www.w3.org/2001/XMLSchema" xmlns:xs="http://www.w3.org/2001/XMLSchema" xmlns:p="http://schemas.microsoft.com/office/2006/metadata/properties" xmlns:ns2="0b1d9d91-16e2-43af-bde9-d06cd5e89ec7" xmlns:ns3="49c0853b-ac9d-4feb-a592-77b2e73cf947" targetNamespace="http://schemas.microsoft.com/office/2006/metadata/properties" ma:root="true" ma:fieldsID="46b062cc8e54681f6f325c66cd1eccfd" ns2:_="" ns3:_="">
    <xsd:import namespace="0b1d9d91-16e2-43af-bde9-d06cd5e89ec7"/>
    <xsd:import namespace="49c0853b-ac9d-4feb-a592-77b2e73cf94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9d91-16e2-43af-bde9-d06cd5e89e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0853b-ac9d-4feb-a592-77b2e73cf9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29E9-F8AB-47F6-AF7A-B907383F2922}">
  <ds:schemaRefs>
    <ds:schemaRef ds:uri="http://schemas.microsoft.com/sharepoint/v3/contenttype/forms"/>
  </ds:schemaRefs>
</ds:datastoreItem>
</file>

<file path=customXml/itemProps2.xml><?xml version="1.0" encoding="utf-8"?>
<ds:datastoreItem xmlns:ds="http://schemas.openxmlformats.org/officeDocument/2006/customXml" ds:itemID="{BEA74371-F3C3-4F88-9419-5EAF33ED41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194D1-E63E-4357-BB6B-B01DD9D6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9d91-16e2-43af-bde9-d06cd5e89ec7"/>
    <ds:schemaRef ds:uri="49c0853b-ac9d-4feb-a592-77b2e73c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AB039-97DA-4282-8D71-27A3C29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Wendt</dc:creator>
  <cp:keywords/>
  <dc:description/>
  <cp:lastModifiedBy>naomi@focushr.com.au</cp:lastModifiedBy>
  <cp:revision>7</cp:revision>
  <dcterms:created xsi:type="dcterms:W3CDTF">2020-04-17T04:38:00Z</dcterms:created>
  <dcterms:modified xsi:type="dcterms:W3CDTF">2020-04-17T05:49:00Z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0x0101003F93B1EA9A99A947A14FDF0A2D78C968</vt:lpwstr>
  </property>
</Properties>
</file>